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8" w:lineRule="auto"/>
        <w:jc w:val="center"/>
        <w:rPr>
          <w:rFonts w:hint="eastAsia" w:ascii="方正小标宋_GBK" w:hAnsi="方正小标宋_GBK" w:eastAsia="方正小标宋_GBK" w:cs="Times New Roman"/>
          <w:b w:val="0"/>
          <w:bCs w:val="0"/>
          <w:sz w:val="30"/>
        </w:rPr>
      </w:pPr>
      <w:r>
        <w:rPr>
          <w:rFonts w:hint="eastAsia" w:ascii="方正小标宋_GBK" w:hAnsi="方正小标宋_GBK" w:eastAsia="方正小标宋_GBK" w:cs="Times New Roman"/>
          <w:b w:val="0"/>
          <w:bCs w:val="0"/>
          <w:sz w:val="30"/>
        </w:rPr>
        <w:t>（二十）公共文化服务领域基层政务公开标准目录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sz w:val="22"/>
                <w:szCs w:val="22"/>
              </w:rPr>
            </w:pPr>
            <w:r>
              <w:rPr>
                <w:rFonts w:ascii="Times New Roman" w:hAnsi="宋体" w:cs="Times New Roman"/>
                <w:color w:val="000000"/>
                <w:kern w:val="0"/>
                <w:sz w:val="22"/>
                <w:szCs w:val="22"/>
              </w:rPr>
              <w:t>序号</w:t>
            </w:r>
          </w:p>
        </w:tc>
        <w:tc>
          <w:tcPr>
            <w:tcW w:w="23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公开事项</w:t>
            </w:r>
          </w:p>
        </w:tc>
        <w:tc>
          <w:tcPr>
            <w:tcW w:w="178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公开内容（要素）</w:t>
            </w:r>
          </w:p>
        </w:tc>
        <w:tc>
          <w:tcPr>
            <w:tcW w:w="198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公开依据</w:t>
            </w:r>
          </w:p>
        </w:tc>
        <w:tc>
          <w:tcPr>
            <w:tcW w:w="181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公开时限</w:t>
            </w:r>
          </w:p>
        </w:tc>
        <w:tc>
          <w:tcPr>
            <w:tcW w:w="142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公开主体</w:t>
            </w:r>
          </w:p>
        </w:tc>
        <w:tc>
          <w:tcPr>
            <w:tcW w:w="14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公开渠道和载体</w:t>
            </w:r>
          </w:p>
        </w:tc>
        <w:tc>
          <w:tcPr>
            <w:tcW w:w="1429" w:type="dxa"/>
            <w:gridSpan w:val="2"/>
            <w:tcBorders>
              <w:top w:val="single" w:color="auto" w:sz="4" w:space="0"/>
              <w:left w:val="nil"/>
              <w:bottom w:val="nil"/>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color w:val="000000"/>
                <w:kern w:val="0"/>
                <w:sz w:val="22"/>
                <w:szCs w:val="22"/>
              </w:rPr>
            </w:pPr>
          </w:p>
        </w:tc>
        <w:tc>
          <w:tcPr>
            <w:tcW w:w="73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一级事项</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二级事项</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color w:val="000000"/>
                <w:kern w:val="0"/>
                <w:sz w:val="22"/>
                <w:szCs w:val="22"/>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color w:val="000000"/>
                <w:kern w:val="0"/>
                <w:sz w:val="22"/>
                <w:szCs w:val="22"/>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color w:val="000000"/>
                <w:kern w:val="0"/>
                <w:sz w:val="22"/>
                <w:szCs w:val="22"/>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color w:val="000000"/>
                <w:kern w:val="0"/>
                <w:sz w:val="22"/>
                <w:szCs w:val="22"/>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kern w:val="0"/>
                <w:sz w:val="22"/>
                <w:szCs w:val="22"/>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全社会</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特定群众</w:t>
            </w:r>
          </w:p>
        </w:tc>
        <w:tc>
          <w:tcPr>
            <w:tcW w:w="55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主动</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依申请公开</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县级</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许可</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互联网上网服务营业场所经营许可</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1.办事指南：主要包括事项名称、设定依据、申请条件、办理材料、办理地点、办理时间、联系电话、办理流程、办理期限、申请行政许可需要提交的全部材料目录及办理情况;</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《行政许可法》、《政府信息公开条例》、《互联网上网服务营业场所管理条例》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文艺表演团体设立审批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《行政许可法》、《政府信息公开条例》、《营业性演出管理条例》、《文化部关于落实“先照后证”改进文化市场行政审批工作的通知》 </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w:t>
            </w:r>
          </w:p>
        </w:tc>
        <w:tc>
          <w:tcPr>
            <w:tcW w:w="73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许可</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营业性演出审批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同上</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许可</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娱乐场所经营许可</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5</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县级文物保护单位保护范围内其他建设工程或者爆破、钻探、挖掘等作业审批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6</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县级文物保护单位建设控制地带内建设工程设计方案审批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7</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县级文物保护单位实施原址保护措施审批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8</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许可</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县级文物保护单位和未核定为文物保护单位的不可移动文物修缮审批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9</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核定为县级文物保护单位的属于国家所有的纪念建筑物或者古建筑改变用途审批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10</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非国有文物收藏单位和其他单位举办展览需借用国有馆藏二级以下文物审批</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1.办事指南：内容同上;</w:t>
            </w:r>
            <w:r>
              <w:rPr>
                <w:rFonts w:ascii="仿宋_GB2312" w:hAnsi="Times New Roman"/>
                <w:sz w:val="18"/>
                <w:szCs w:val="18"/>
              </w:rPr>
              <w:br w:type="textWrapping"/>
            </w:r>
            <w:r>
              <w:rPr>
                <w:rFonts w:ascii="仿宋_GB2312" w:hAnsi="Times New Roman"/>
                <w:sz w:val="18"/>
                <w:szCs w:val="18"/>
              </w:rPr>
              <w:t>2.行政许可决定。</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《行政许可法》、《政府信息公开条例》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■公开查阅点     ■政务服务中心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bookmarkStart w:id="0" w:name="_GoBack" w:colFirst="6" w:colLast="6"/>
            <w:r>
              <w:rPr>
                <w:rFonts w:ascii="仿宋_GB2312" w:hAnsi="Times New Roman"/>
                <w:sz w:val="18"/>
                <w:szCs w:val="18"/>
              </w:rPr>
              <w:t>11</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对互联网上网服务营业场所违法行为的行政处罚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eastAsia="宋体" w:cs="Calibri"/>
                <w:kern w:val="2"/>
                <w:sz w:val="18"/>
                <w:szCs w:val="18"/>
                <w:lang w:val="en-US" w:eastAsia="zh-CN" w:bidi="ar-SA"/>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12</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对娱乐场所违法行为的行政处罚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13</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对营业性演出违法行为的行政处罚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14</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对艺术品经营违法行为的行政处罚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15</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对网络游戏运营单位违法行为的行政处罚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1.主体信息；</w:t>
            </w:r>
            <w:r>
              <w:rPr>
                <w:rFonts w:ascii="仿宋_GB2312" w:hAnsi="Times New Roman"/>
                <w:color w:val="auto"/>
                <w:sz w:val="18"/>
                <w:szCs w:val="18"/>
              </w:rPr>
              <w:br w:type="textWrapping"/>
            </w:r>
            <w:r>
              <w:rPr>
                <w:rFonts w:ascii="仿宋_GB2312" w:hAnsi="Times New Roman"/>
                <w:color w:val="auto"/>
                <w:sz w:val="18"/>
                <w:szCs w:val="18"/>
              </w:rPr>
              <w:t>2.案由；</w:t>
            </w:r>
            <w:r>
              <w:rPr>
                <w:rFonts w:ascii="仿宋_GB2312" w:hAnsi="Times New Roman"/>
                <w:color w:val="auto"/>
                <w:sz w:val="18"/>
                <w:szCs w:val="18"/>
              </w:rPr>
              <w:br w:type="textWrapping"/>
            </w:r>
            <w:r>
              <w:rPr>
                <w:rFonts w:ascii="仿宋_GB2312" w:hAnsi="Times New Roman"/>
                <w:color w:val="auto"/>
                <w:sz w:val="18"/>
                <w:szCs w:val="18"/>
              </w:rPr>
              <w:t>3.处罚依据；</w:t>
            </w:r>
            <w:r>
              <w:rPr>
                <w:rFonts w:ascii="仿宋_GB2312" w:hAnsi="Times New Roman"/>
                <w:color w:val="auto"/>
                <w:sz w:val="18"/>
                <w:szCs w:val="18"/>
              </w:rPr>
              <w:br w:type="textWrapping"/>
            </w:r>
            <w:r>
              <w:rPr>
                <w:rFonts w:ascii="仿宋_GB2312" w:hAnsi="Times New Roman"/>
                <w:color w:val="auto"/>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16</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对社会艺术水平考级活动违法行为的行政处罚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1.主体信息；</w:t>
            </w:r>
            <w:r>
              <w:rPr>
                <w:rFonts w:ascii="仿宋_GB2312" w:hAnsi="Times New Roman"/>
                <w:color w:val="auto"/>
                <w:sz w:val="18"/>
                <w:szCs w:val="18"/>
              </w:rPr>
              <w:br w:type="textWrapping"/>
            </w:r>
            <w:r>
              <w:rPr>
                <w:rFonts w:ascii="仿宋_GB2312" w:hAnsi="Times New Roman"/>
                <w:color w:val="auto"/>
                <w:sz w:val="18"/>
                <w:szCs w:val="18"/>
              </w:rPr>
              <w:t>2.案由；</w:t>
            </w:r>
            <w:r>
              <w:rPr>
                <w:rFonts w:ascii="仿宋_GB2312" w:hAnsi="Times New Roman"/>
                <w:color w:val="auto"/>
                <w:sz w:val="18"/>
                <w:szCs w:val="18"/>
              </w:rPr>
              <w:br w:type="textWrapping"/>
            </w:r>
            <w:r>
              <w:rPr>
                <w:rFonts w:ascii="仿宋_GB2312" w:hAnsi="Times New Roman"/>
                <w:color w:val="auto"/>
                <w:sz w:val="18"/>
                <w:szCs w:val="18"/>
              </w:rPr>
              <w:t>3.处罚依据；</w:t>
            </w:r>
            <w:r>
              <w:rPr>
                <w:rFonts w:ascii="仿宋_GB2312" w:hAnsi="Times New Roman"/>
                <w:color w:val="auto"/>
                <w:sz w:val="18"/>
                <w:szCs w:val="18"/>
              </w:rPr>
              <w:br w:type="textWrapping"/>
            </w:r>
            <w:r>
              <w:rPr>
                <w:rFonts w:ascii="仿宋_GB2312" w:hAnsi="Times New Roman"/>
                <w:color w:val="auto"/>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17</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对互联网文化单位违法行为的行政处罚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1.主体信息；</w:t>
            </w:r>
            <w:r>
              <w:rPr>
                <w:rFonts w:ascii="仿宋_GB2312" w:hAnsi="Times New Roman"/>
                <w:color w:val="auto"/>
                <w:sz w:val="18"/>
                <w:szCs w:val="18"/>
              </w:rPr>
              <w:br w:type="textWrapping"/>
            </w:r>
            <w:r>
              <w:rPr>
                <w:rFonts w:ascii="仿宋_GB2312" w:hAnsi="Times New Roman"/>
                <w:color w:val="auto"/>
                <w:sz w:val="18"/>
                <w:szCs w:val="18"/>
              </w:rPr>
              <w:t>2.案由；</w:t>
            </w:r>
            <w:r>
              <w:rPr>
                <w:rFonts w:ascii="仿宋_GB2312" w:hAnsi="Times New Roman"/>
                <w:color w:val="auto"/>
                <w:sz w:val="18"/>
                <w:szCs w:val="18"/>
              </w:rPr>
              <w:br w:type="textWrapping"/>
            </w:r>
            <w:r>
              <w:rPr>
                <w:rFonts w:ascii="仿宋_GB2312" w:hAnsi="Times New Roman"/>
                <w:color w:val="auto"/>
                <w:sz w:val="18"/>
                <w:szCs w:val="18"/>
              </w:rPr>
              <w:t>3.处罚依据；</w:t>
            </w:r>
            <w:r>
              <w:rPr>
                <w:rFonts w:ascii="仿宋_GB2312" w:hAnsi="Times New Roman"/>
                <w:color w:val="auto"/>
                <w:sz w:val="18"/>
                <w:szCs w:val="18"/>
              </w:rPr>
              <w:br w:type="textWrapping"/>
            </w:r>
            <w:r>
              <w:rPr>
                <w:rFonts w:ascii="仿宋_GB2312" w:hAnsi="Times New Roman"/>
                <w:color w:val="auto"/>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18</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对擅自在文物保护单位的保护范围内进行建设工程或者爆破、钻探、挖掘等作业的行为进行处罚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1.主体信息；</w:t>
            </w:r>
            <w:r>
              <w:rPr>
                <w:rFonts w:ascii="仿宋_GB2312" w:hAnsi="Times New Roman"/>
                <w:color w:val="auto"/>
                <w:sz w:val="18"/>
                <w:szCs w:val="18"/>
              </w:rPr>
              <w:br w:type="textWrapping"/>
            </w:r>
            <w:r>
              <w:rPr>
                <w:rFonts w:ascii="仿宋_GB2312" w:hAnsi="Times New Roman"/>
                <w:color w:val="auto"/>
                <w:sz w:val="18"/>
                <w:szCs w:val="18"/>
              </w:rPr>
              <w:t>2.案由；</w:t>
            </w:r>
            <w:r>
              <w:rPr>
                <w:rFonts w:ascii="仿宋_GB2312" w:hAnsi="Times New Roman"/>
                <w:color w:val="auto"/>
                <w:sz w:val="18"/>
                <w:szCs w:val="18"/>
              </w:rPr>
              <w:br w:type="textWrapping"/>
            </w:r>
            <w:r>
              <w:rPr>
                <w:rFonts w:ascii="仿宋_GB2312" w:hAnsi="Times New Roman"/>
                <w:color w:val="auto"/>
                <w:sz w:val="18"/>
                <w:szCs w:val="18"/>
              </w:rPr>
              <w:t>3.处罚依据；</w:t>
            </w:r>
            <w:r>
              <w:rPr>
                <w:rFonts w:ascii="仿宋_GB2312" w:hAnsi="Times New Roman"/>
                <w:color w:val="auto"/>
                <w:sz w:val="18"/>
                <w:szCs w:val="18"/>
              </w:rPr>
              <w:br w:type="textWrapping"/>
            </w:r>
            <w:r>
              <w:rPr>
                <w:rFonts w:ascii="仿宋_GB2312" w:hAnsi="Times New Roman"/>
                <w:color w:val="auto"/>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color w:val="auto"/>
                <w:sz w:val="18"/>
                <w:szCs w:val="18"/>
              </w:rPr>
            </w:pPr>
            <w:r>
              <w:rPr>
                <w:rFonts w:ascii="仿宋_GB2312" w:hAnsi="Times New Roman"/>
                <w:color w:val="auto"/>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19</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20</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对擅自迁移、拆除不可移动文物的行为进行处罚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21</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对擅自修缮不可移动文物，明显改变文物原状的行为进行处罚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22</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对擅自在原址重建已全部毁坏的不可移动文物，造成文物破坏的行为进行处罚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23</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对施工单位未取得文物保护工程资质证书，擅自从事文物修缮、迁移、重建的行为进行处罚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24</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对转让或者抵押国有不可移动文物的行为进行处罚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25</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对将国有不可移动文物作为企业资产经营的行为进行处罚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26</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对将非国有不可移动文物转让或者抵押给外国人的行为进行处罚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27</w:t>
            </w:r>
          </w:p>
        </w:tc>
        <w:tc>
          <w:tcPr>
            <w:tcW w:w="734"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对擅自改变国有文物保护单位用途的行为进行处罚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28</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对文物收藏单位未按照国家有关规定配备防火、防盗、防自然损坏的设施的行为进行处罚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29</w:t>
            </w:r>
          </w:p>
        </w:tc>
        <w:tc>
          <w:tcPr>
            <w:tcW w:w="734"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对国有文物收藏单位法定代表人离任时未按照馆藏文物档案移交馆藏文物，或者所移交的馆藏文物与馆藏文物档案不符的行为进行处罚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30</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对将国有馆藏文物赠与、出租或者出售给其他单位、个人的行为进行处罚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31</w:t>
            </w:r>
          </w:p>
        </w:tc>
        <w:tc>
          <w:tcPr>
            <w:tcW w:w="734"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对违法借用、交换、处置国有馆藏文物的行为进行处罚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32</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对违法挪用或者侵占依法调拨、交换、出借文物所得补偿费用的行为进行处罚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33</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对发现文物隐匿不报，或者拒不上交的行为进行处罚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34</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对未按照规定移交拣选文物的行为进行处罚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top"/>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■政府网站</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35</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对未取得相应等级的文物保护工程资质证书，擅自承担文物保护单位的修缮、迁移、重建工程逾期不改正，或者造成严重后果的行为进行处罚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top"/>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■政府网站</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36</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处罚</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对未取得资质证书，擅自从事馆藏文物的修复、复制、拓印活动的行为进行处罚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top"/>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■政府网站</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37</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对擅自修复、复制、拓印馆藏珍贵文物的行为进行处罚</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3.处罚依据；</w:t>
            </w:r>
            <w:r>
              <w:rPr>
                <w:rFonts w:ascii="仿宋_GB2312" w:hAnsi="Times New Roman"/>
                <w:sz w:val="18"/>
                <w:szCs w:val="18"/>
              </w:rPr>
              <w:br w:type="textWrapping"/>
            </w:r>
            <w:r>
              <w:rPr>
                <w:rFonts w:ascii="仿宋_GB2312" w:hAnsi="Times New Roman"/>
                <w:sz w:val="18"/>
                <w:szCs w:val="18"/>
              </w:rPr>
              <w:t>4.处罚结果。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top"/>
          </w:tcPr>
          <w:p>
            <w:pPr>
              <w:spacing w:line="240" w:lineRule="exact"/>
              <w:rPr>
                <w:rFonts w:ascii="仿宋_GB2312" w:hAnsi="Times New Roman"/>
                <w:sz w:val="18"/>
                <w:szCs w:val="18"/>
              </w:rPr>
            </w:pPr>
            <w:r>
              <w:rPr>
                <w:rFonts w:ascii="仿宋_GB2312" w:hAnsi="Times New Roman"/>
                <w:sz w:val="18"/>
                <w:szCs w:val="18"/>
              </w:rPr>
              <w:t>执法决定信息在决定作出之日起7个工作日内公开，其他相关信息形成或变更之日起20个工作日内公开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■政府网站</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38</w:t>
            </w:r>
          </w:p>
        </w:tc>
        <w:tc>
          <w:tcPr>
            <w:tcW w:w="73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行政</w:t>
            </w:r>
            <w:r>
              <w:rPr>
                <w:rFonts w:ascii="仿宋_GB2312" w:hAnsi="Times New Roman"/>
                <w:sz w:val="18"/>
                <w:szCs w:val="18"/>
              </w:rPr>
              <w:br w:type="textWrapping"/>
            </w:r>
            <w:r>
              <w:rPr>
                <w:rFonts w:ascii="仿宋_GB2312" w:hAnsi="Times New Roman"/>
                <w:sz w:val="18"/>
                <w:szCs w:val="18"/>
              </w:rPr>
              <w:t>强制</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对擅自从事互联网上网服务经营活动场所的查封，专用工具、设备的扣押</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1.主体信息；</w:t>
            </w:r>
            <w:r>
              <w:rPr>
                <w:rFonts w:ascii="仿宋_GB2312" w:hAnsi="Times New Roman"/>
                <w:sz w:val="18"/>
                <w:szCs w:val="18"/>
              </w:rPr>
              <w:br w:type="textWrapping"/>
            </w:r>
            <w:r>
              <w:rPr>
                <w:rFonts w:ascii="仿宋_GB2312" w:hAnsi="Times New Roman"/>
                <w:sz w:val="18"/>
                <w:szCs w:val="18"/>
              </w:rPr>
              <w:t>2.案由；</w:t>
            </w:r>
            <w:r>
              <w:rPr>
                <w:rFonts w:ascii="仿宋_GB2312" w:hAnsi="Times New Roman"/>
                <w:sz w:val="18"/>
                <w:szCs w:val="18"/>
              </w:rPr>
              <w:br w:type="textWrapping"/>
            </w:r>
            <w:r>
              <w:rPr>
                <w:rFonts w:ascii="仿宋_GB2312" w:hAnsi="Times New Roman"/>
                <w:sz w:val="18"/>
                <w:szCs w:val="18"/>
              </w:rPr>
              <w:t>3.处理依据；</w:t>
            </w:r>
            <w:r>
              <w:rPr>
                <w:rFonts w:ascii="仿宋_GB2312" w:hAnsi="Times New Roman"/>
                <w:sz w:val="18"/>
                <w:szCs w:val="18"/>
              </w:rPr>
              <w:br w:type="textWrapping"/>
            </w:r>
            <w:r>
              <w:rPr>
                <w:rFonts w:ascii="仿宋_GB2312" w:hAnsi="Times New Roman"/>
                <w:sz w:val="18"/>
                <w:szCs w:val="18"/>
              </w:rPr>
              <w:t>4.处理结果。</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eastAsia="宋体" w:cs="Calibri"/>
                <w:kern w:val="2"/>
                <w:sz w:val="18"/>
                <w:szCs w:val="18"/>
                <w:lang w:val="en-US" w:eastAsia="zh-CN" w:bidi="ar-SA"/>
              </w:rPr>
            </w:pPr>
            <w:r>
              <w:rPr>
                <w:rFonts w:hint="eastAsia" w:ascii="仿宋_GB2312" w:hAnsi="宋体" w:eastAsia="仿宋_GB2312" w:cs="仿宋_GB2312"/>
                <w:i w:val="0"/>
                <w:caps w:val="0"/>
                <w:color w:val="333333"/>
                <w:spacing w:val="0"/>
                <w:sz w:val="18"/>
                <w:szCs w:val="18"/>
                <w:lang w:val="en-US" w:eastAsia="zh-CN"/>
              </w:rPr>
              <w:t>曲江</w:t>
            </w:r>
            <w:r>
              <w:rPr>
                <w:rFonts w:ascii="仿宋_GB2312" w:hAnsi="宋体" w:eastAsia="仿宋_GB2312" w:cs="仿宋_GB2312"/>
                <w:i w:val="0"/>
                <w:caps w:val="0"/>
                <w:color w:val="333333"/>
                <w:spacing w:val="0"/>
                <w:sz w:val="18"/>
                <w:szCs w:val="18"/>
              </w:rPr>
              <w:t>区文广旅</w:t>
            </w:r>
            <w:r>
              <w:rPr>
                <w:rFonts w:hint="eastAsia" w:ascii="仿宋_GB2312" w:hAnsi="宋体" w:eastAsia="仿宋_GB2312" w:cs="仿宋_GB2312"/>
                <w:i w:val="0"/>
                <w:caps w:val="0"/>
                <w:color w:val="333333"/>
                <w:spacing w:val="0"/>
                <w:sz w:val="18"/>
                <w:szCs w:val="18"/>
                <w:lang w:eastAsia="zh-CN"/>
              </w:rPr>
              <w:t>体</w:t>
            </w:r>
            <w:r>
              <w:rPr>
                <w:rFonts w:ascii="仿宋_GB2312" w:hAnsi="宋体" w:eastAsia="仿宋_GB2312" w:cs="仿宋_GB2312"/>
                <w:i w:val="0"/>
                <w:caps w:val="0"/>
                <w:color w:val="333333"/>
                <w:spacing w:val="0"/>
                <w:sz w:val="18"/>
                <w:szCs w:val="18"/>
              </w:rPr>
              <w:t>局</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■政府网站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39</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公共</w:t>
            </w:r>
            <w:r>
              <w:rPr>
                <w:rFonts w:ascii="仿宋_GB2312" w:hAnsi="Times New Roman"/>
                <w:sz w:val="18"/>
                <w:szCs w:val="18"/>
              </w:rPr>
              <w:br w:type="textWrapping"/>
            </w:r>
            <w:r>
              <w:rPr>
                <w:rFonts w:ascii="仿宋_GB2312" w:hAnsi="Times New Roman"/>
                <w:sz w:val="18"/>
                <w:szCs w:val="18"/>
              </w:rPr>
              <w:t>服务</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公共文化机构免费开放信息</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1.机构名称；</w:t>
            </w:r>
            <w:r>
              <w:rPr>
                <w:rFonts w:ascii="仿宋_GB2312" w:hAnsi="Times New Roman"/>
                <w:sz w:val="18"/>
                <w:szCs w:val="18"/>
              </w:rPr>
              <w:br w:type="textWrapping"/>
            </w:r>
            <w:r>
              <w:rPr>
                <w:rFonts w:ascii="仿宋_GB2312" w:hAnsi="Times New Roman"/>
                <w:sz w:val="18"/>
                <w:szCs w:val="18"/>
              </w:rPr>
              <w:t>2.开放时间；</w:t>
            </w:r>
            <w:r>
              <w:rPr>
                <w:rFonts w:ascii="仿宋_GB2312" w:hAnsi="Times New Roman"/>
                <w:sz w:val="18"/>
                <w:szCs w:val="18"/>
              </w:rPr>
              <w:br w:type="textWrapping"/>
            </w:r>
            <w:r>
              <w:rPr>
                <w:rFonts w:ascii="仿宋_GB2312" w:hAnsi="Times New Roman"/>
                <w:sz w:val="18"/>
                <w:szCs w:val="18"/>
              </w:rPr>
              <w:t>3.机构地址；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5.临时停止开放信息。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hint="eastAsia"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40</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特殊群体公共文化服务信息</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1.机构名称；</w:t>
            </w:r>
            <w:r>
              <w:rPr>
                <w:rFonts w:ascii="仿宋_GB2312" w:hAnsi="Times New Roman"/>
                <w:sz w:val="18"/>
                <w:szCs w:val="18"/>
              </w:rPr>
              <w:br w:type="textWrapping"/>
            </w:r>
            <w:r>
              <w:rPr>
                <w:rFonts w:ascii="仿宋_GB2312" w:hAnsi="Times New Roman"/>
                <w:sz w:val="18"/>
                <w:szCs w:val="18"/>
              </w:rPr>
              <w:t>2.开放时间；</w:t>
            </w:r>
            <w:r>
              <w:rPr>
                <w:rFonts w:ascii="仿宋_GB2312" w:hAnsi="Times New Roman"/>
                <w:sz w:val="18"/>
                <w:szCs w:val="18"/>
              </w:rPr>
              <w:br w:type="textWrapping"/>
            </w:r>
            <w:r>
              <w:rPr>
                <w:rFonts w:ascii="仿宋_GB2312" w:hAnsi="Times New Roman"/>
                <w:sz w:val="18"/>
                <w:szCs w:val="18"/>
              </w:rPr>
              <w:t>3.机构地址；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5.临时停止开放信息。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《残疾人保障法》、《政府信息公开条例》、《中共中央办公厅 国务院办公厅印发关于加快构建现代公共文化服务体系的意见》</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41</w:t>
            </w:r>
          </w:p>
        </w:tc>
        <w:tc>
          <w:tcPr>
            <w:tcW w:w="734" w:type="dxa"/>
            <w:vMerge w:val="restart"/>
            <w:tcBorders>
              <w:top w:val="nil"/>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公共</w:t>
            </w:r>
            <w:r>
              <w:rPr>
                <w:rFonts w:ascii="仿宋_GB2312" w:hAnsi="Times New Roman"/>
                <w:sz w:val="18"/>
                <w:szCs w:val="18"/>
              </w:rPr>
              <w:br w:type="textWrapping"/>
            </w:r>
            <w:r>
              <w:rPr>
                <w:rFonts w:ascii="仿宋_GB2312" w:hAnsi="Times New Roman"/>
                <w:sz w:val="18"/>
                <w:szCs w:val="18"/>
              </w:rPr>
              <w:t>服务</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组织开展群众文化活动</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1.机构名称；</w:t>
            </w:r>
            <w:r>
              <w:rPr>
                <w:rFonts w:ascii="仿宋_GB2312" w:hAnsi="Times New Roman"/>
                <w:sz w:val="18"/>
                <w:szCs w:val="18"/>
              </w:rPr>
              <w:br w:type="textWrapping"/>
            </w:r>
            <w:r>
              <w:rPr>
                <w:rFonts w:ascii="仿宋_GB2312" w:hAnsi="Times New Roman"/>
                <w:sz w:val="18"/>
                <w:szCs w:val="18"/>
              </w:rPr>
              <w:t>2.开放时间；</w:t>
            </w:r>
            <w:r>
              <w:rPr>
                <w:rFonts w:ascii="仿宋_GB2312" w:hAnsi="Times New Roman"/>
                <w:sz w:val="18"/>
                <w:szCs w:val="18"/>
              </w:rPr>
              <w:br w:type="textWrapping"/>
            </w:r>
            <w:r>
              <w:rPr>
                <w:rFonts w:ascii="仿宋_GB2312" w:hAnsi="Times New Roman"/>
                <w:sz w:val="18"/>
                <w:szCs w:val="18"/>
              </w:rPr>
              <w:t>3.机构地址；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5.临时停止活动信息。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《政府信息公开条例》、《文化馆服务标准》</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42</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下基层辅导、演出、展览和指导基层群众文化活动</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1.活动时间；</w:t>
            </w:r>
            <w:r>
              <w:rPr>
                <w:rFonts w:ascii="仿宋_GB2312" w:hAnsi="Times New Roman"/>
                <w:sz w:val="18"/>
                <w:szCs w:val="18"/>
              </w:rPr>
              <w:br w:type="textWrapping"/>
            </w:r>
            <w:r>
              <w:rPr>
                <w:rFonts w:ascii="仿宋_GB2312" w:hAnsi="Times New Roman"/>
                <w:sz w:val="18"/>
                <w:szCs w:val="18"/>
              </w:rPr>
              <w:t>2.活动单位；</w:t>
            </w:r>
            <w:r>
              <w:rPr>
                <w:rFonts w:ascii="仿宋_GB2312" w:hAnsi="Times New Roman"/>
                <w:sz w:val="18"/>
                <w:szCs w:val="18"/>
              </w:rPr>
              <w:br w:type="textWrapping"/>
            </w:r>
            <w:r>
              <w:rPr>
                <w:rFonts w:ascii="仿宋_GB2312" w:hAnsi="Times New Roman"/>
                <w:sz w:val="18"/>
                <w:szCs w:val="18"/>
              </w:rPr>
              <w:t>3.活动地址；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5.临时停止活动信息。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《政府信息公开条例》、《文化馆服务标准》</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43</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举办各类展览、讲座信息</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1.活动时间；</w:t>
            </w:r>
            <w:r>
              <w:rPr>
                <w:rFonts w:ascii="仿宋_GB2312" w:hAnsi="Times New Roman"/>
                <w:sz w:val="18"/>
                <w:szCs w:val="18"/>
              </w:rPr>
              <w:br w:type="textWrapping"/>
            </w:r>
            <w:r>
              <w:rPr>
                <w:rFonts w:ascii="仿宋_GB2312" w:hAnsi="Times New Roman"/>
                <w:sz w:val="18"/>
                <w:szCs w:val="18"/>
              </w:rPr>
              <w:t>2.活动单位；</w:t>
            </w:r>
            <w:r>
              <w:rPr>
                <w:rFonts w:ascii="仿宋_GB2312" w:hAnsi="Times New Roman"/>
                <w:sz w:val="18"/>
                <w:szCs w:val="18"/>
              </w:rPr>
              <w:br w:type="textWrapping"/>
            </w:r>
            <w:r>
              <w:rPr>
                <w:rFonts w:ascii="仿宋_GB2312" w:hAnsi="Times New Roman"/>
                <w:sz w:val="18"/>
                <w:szCs w:val="18"/>
              </w:rPr>
              <w:t>3.活动地址；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5.临时停止活动信息。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《政府信息公开条例》、《乡镇综合文化站管理办法》</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44</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辅导和培训基层文化骨干</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1.培训时间；</w:t>
            </w:r>
            <w:r>
              <w:rPr>
                <w:rFonts w:ascii="仿宋_GB2312" w:hAnsi="Times New Roman"/>
                <w:sz w:val="18"/>
                <w:szCs w:val="18"/>
              </w:rPr>
              <w:br w:type="textWrapping"/>
            </w:r>
            <w:r>
              <w:rPr>
                <w:rFonts w:ascii="仿宋_GB2312" w:hAnsi="Times New Roman"/>
                <w:sz w:val="18"/>
                <w:szCs w:val="18"/>
              </w:rPr>
              <w:t>2.培训单位；</w:t>
            </w:r>
            <w:r>
              <w:rPr>
                <w:rFonts w:ascii="仿宋_GB2312" w:hAnsi="Times New Roman"/>
                <w:sz w:val="18"/>
                <w:szCs w:val="18"/>
              </w:rPr>
              <w:br w:type="textWrapping"/>
            </w:r>
            <w:r>
              <w:rPr>
                <w:rFonts w:ascii="仿宋_GB2312" w:hAnsi="Times New Roman"/>
                <w:sz w:val="18"/>
                <w:szCs w:val="18"/>
              </w:rPr>
              <w:t>3.培训地址；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5.临时停止活动信息。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《政府信息公开条例》、《乡镇综合文化站管理办法》</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45</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Times New Roman"/>
                <w:sz w:val="18"/>
                <w:szCs w:val="18"/>
              </w:rPr>
            </w:pP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非物质文化遗产展示传播活动</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1.活动时间；</w:t>
            </w:r>
            <w:r>
              <w:rPr>
                <w:rFonts w:ascii="仿宋_GB2312" w:hAnsi="Times New Roman"/>
                <w:sz w:val="18"/>
                <w:szCs w:val="18"/>
              </w:rPr>
              <w:br w:type="textWrapping"/>
            </w:r>
            <w:r>
              <w:rPr>
                <w:rFonts w:ascii="仿宋_GB2312" w:hAnsi="Times New Roman"/>
                <w:sz w:val="18"/>
                <w:szCs w:val="18"/>
              </w:rPr>
              <w:t>2.组织单位；</w:t>
            </w:r>
            <w:r>
              <w:rPr>
                <w:rFonts w:ascii="仿宋_GB2312" w:hAnsi="Times New Roman"/>
                <w:sz w:val="18"/>
                <w:szCs w:val="18"/>
              </w:rPr>
              <w:br w:type="textWrapping"/>
            </w:r>
            <w:r>
              <w:rPr>
                <w:rFonts w:ascii="仿宋_GB2312" w:hAnsi="Times New Roman"/>
                <w:sz w:val="18"/>
                <w:szCs w:val="18"/>
              </w:rPr>
              <w:t>3.活动地址；</w:t>
            </w:r>
            <w:r>
              <w:rPr>
                <w:rFonts w:ascii="仿宋_GB2312" w:hAnsi="Times New Roman"/>
                <w:sz w:val="18"/>
                <w:szCs w:val="18"/>
              </w:rPr>
              <w:br w:type="textWrapping"/>
            </w:r>
            <w:r>
              <w:rPr>
                <w:rFonts w:ascii="仿宋_GB2312" w:hAnsi="Times New Roman"/>
                <w:sz w:val="18"/>
                <w:szCs w:val="18"/>
              </w:rPr>
              <w:t>4.联系电话；</w:t>
            </w:r>
            <w:r>
              <w:rPr>
                <w:rFonts w:ascii="仿宋_GB2312" w:hAnsi="Times New Roman"/>
                <w:sz w:val="18"/>
                <w:szCs w:val="18"/>
              </w:rPr>
              <w:br w:type="textWrapping"/>
            </w:r>
            <w:r>
              <w:rPr>
                <w:rFonts w:ascii="仿宋_GB2312" w:hAnsi="Times New Roman"/>
                <w:sz w:val="18"/>
                <w:szCs w:val="18"/>
              </w:rPr>
              <w:t>5.临时停止活动信息。</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xml:space="preserve">《非物质文化遗产法》、《政府信息公开条例》  </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hint="eastAsia" w:ascii="仿宋_GB2312" w:hAnsi="Times New Roman"/>
                <w:sz w:val="18"/>
                <w:szCs w:val="18"/>
              </w:rPr>
              <w:t>文广旅体</w:t>
            </w:r>
            <w:r>
              <w:rPr>
                <w:rFonts w:ascii="仿宋_GB2312" w:hAnsi="Times New Roman"/>
                <w:sz w:val="18"/>
                <w:szCs w:val="18"/>
              </w:rPr>
              <w:t>部门及</w:t>
            </w:r>
            <w:r>
              <w:rPr>
                <w:rFonts w:hint="eastAsia" w:ascii="仿宋_GB2312" w:hAnsi="Times New Roman"/>
                <w:sz w:val="18"/>
                <w:szCs w:val="18"/>
              </w:rPr>
              <w:t>下属</w:t>
            </w:r>
            <w:r>
              <w:rPr>
                <w:rFonts w:ascii="仿宋_GB2312" w:hAnsi="Times New Roman"/>
                <w:sz w:val="18"/>
                <w:szCs w:val="18"/>
              </w:rPr>
              <w:t>文化事业单位</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sz w:val="18"/>
                <w:szCs w:val="18"/>
              </w:rPr>
            </w:pPr>
            <w:r>
              <w:rPr>
                <w:rFonts w:ascii="仿宋_GB2312" w:hAnsi="Times New Roman"/>
                <w:sz w:val="18"/>
                <w:szCs w:val="18"/>
              </w:rPr>
              <w:t>■政府网站</w:t>
            </w:r>
          </w:p>
          <w:p>
            <w:pPr>
              <w:spacing w:line="240" w:lineRule="exact"/>
              <w:rPr>
                <w:rFonts w:ascii="仿宋_GB2312" w:hAnsi="Times New Roman"/>
                <w:sz w:val="18"/>
                <w:szCs w:val="18"/>
              </w:rPr>
            </w:pPr>
            <w:r>
              <w:rPr>
                <w:rFonts w:ascii="仿宋_GB2312" w:hAnsi="Times New Roman"/>
                <w:sz w:val="18"/>
                <w:szCs w:val="18"/>
              </w:rPr>
              <w:t>■</w:t>
            </w:r>
            <w:r>
              <w:rPr>
                <w:rFonts w:hint="eastAsia" w:ascii="仿宋_GB2312" w:hAnsi="Times New Roman"/>
                <w:sz w:val="18"/>
                <w:szCs w:val="18"/>
              </w:rPr>
              <w:t>两</w:t>
            </w:r>
            <w:r>
              <w:rPr>
                <w:rFonts w:ascii="仿宋_GB2312" w:hAnsi="Times New Roman"/>
                <w:sz w:val="18"/>
                <w:szCs w:val="18"/>
              </w:rPr>
              <w:t>微一端</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46</w:t>
            </w:r>
          </w:p>
        </w:tc>
        <w:tc>
          <w:tcPr>
            <w:tcW w:w="73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公共</w:t>
            </w:r>
            <w:r>
              <w:rPr>
                <w:rFonts w:ascii="仿宋_GB2312" w:hAnsi="Times New Roman"/>
                <w:sz w:val="18"/>
                <w:szCs w:val="18"/>
              </w:rPr>
              <w:br w:type="textWrapping"/>
            </w:r>
            <w:r>
              <w:rPr>
                <w:rFonts w:ascii="仿宋_GB2312" w:hAnsi="Times New Roman"/>
                <w:sz w:val="18"/>
                <w:szCs w:val="18"/>
              </w:rPr>
              <w:t>服务</w:t>
            </w:r>
          </w:p>
        </w:tc>
        <w:tc>
          <w:tcPr>
            <w:tcW w:w="16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文博单位名录</w:t>
            </w:r>
          </w:p>
        </w:tc>
        <w:tc>
          <w:tcPr>
            <w:tcW w:w="178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文物保护管理机构和博物馆名录</w:t>
            </w:r>
          </w:p>
        </w:tc>
        <w:tc>
          <w:tcPr>
            <w:tcW w:w="19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《政府信息公开条例》</w:t>
            </w:r>
          </w:p>
        </w:tc>
        <w:tc>
          <w:tcPr>
            <w:tcW w:w="1814"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信息形成或变更之日起20个工作日内公开</w:t>
            </w:r>
          </w:p>
        </w:tc>
        <w:tc>
          <w:tcPr>
            <w:tcW w:w="1426"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文物行政部门及博物馆</w:t>
            </w:r>
            <w:r>
              <w:rPr>
                <w:rFonts w:hint="eastAsia" w:ascii="仿宋_GB2312" w:hAnsi="Times New Roman"/>
                <w:sz w:val="18"/>
                <w:szCs w:val="18"/>
              </w:rPr>
              <w:t>。</w:t>
            </w:r>
          </w:p>
        </w:tc>
        <w:tc>
          <w:tcPr>
            <w:tcW w:w="14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■政府网站</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551"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Times New Roman"/>
                <w:sz w:val="18"/>
                <w:szCs w:val="18"/>
              </w:rPr>
            </w:pPr>
            <w:r>
              <w:rPr>
                <w:rFonts w:ascii="仿宋_GB2312" w:hAnsi="Times New Roman"/>
                <w:sz w:val="18"/>
                <w:szCs w:val="18"/>
              </w:rPr>
              <w:t>√</w:t>
            </w:r>
          </w:p>
        </w:tc>
      </w:tr>
    </w:tbl>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D5C5F"/>
    <w:rsid w:val="18BA4DF1"/>
    <w:rsid w:val="415D5C5F"/>
    <w:rsid w:val="52A7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uiPriority w:val="0"/>
    <w:pPr>
      <w:keepNext/>
      <w:keepLines/>
      <w:spacing w:before="340" w:after="330" w:line="576"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2020-11-20T08:34:00Z</dcterms:created>
  <dc:creator>Administrator</dc:creator>
  <cp:lastModifiedBy>Administrator</cp:lastModifiedBy>
  <dcterms:modified xsi:type="dcterms:W3CDTF">2020-11-24T07:22:15Z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