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highlight w:val="none"/>
        </w:rPr>
        <w:t>简报编入资料：1、城区区域空气中二氧化硫、二氧化氮、可吸入颗粒物、一氧化碳、臭氧、细颗粒物、降尘、降水监测数据；2、全区5条主要河流和城区饮用水源共8个断面的全年监测数据；3、城区区域环境噪声和城区道路交通干线噪声监测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200"/>
        <w:textAlignment w:val="auto"/>
        <w:rPr>
          <w:rFonts w:asciiTheme="minorEastAsia" w:hAnsiTheme="minorEastAsia" w:eastAsiaTheme="minorEastAsia"/>
          <w:b/>
          <w:bCs/>
          <w:highlight w:val="none"/>
        </w:rPr>
      </w:pPr>
      <w:r>
        <w:rPr>
          <w:rFonts w:hint="eastAsia" w:cs="楷体" w:asciiTheme="minorEastAsia" w:hAnsiTheme="minorEastAsia" w:eastAsiaTheme="minorEastAsia"/>
          <w:b/>
          <w:highlight w:val="none"/>
        </w:rPr>
        <w:t xml:space="preserve">环境质量简况： </w:t>
      </w:r>
      <w:r>
        <w:rPr>
          <w:rFonts w:asciiTheme="minorEastAsia" w:hAnsiTheme="minorEastAsia" w:eastAsiaTheme="minorEastAsia"/>
          <w:b/>
          <w:bCs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201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年城区环境空气质量有效监测天数3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highlight w:val="none"/>
        </w:rPr>
        <w:t>天（注：有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highlight w:val="none"/>
        </w:rPr>
        <w:t>天为设备升级或故障，无数据参与统计），空气污染指数小于100的天数为3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highlight w:val="none"/>
        </w:rPr>
        <w:t>天，空气质量优良天数占全年有效监测天数的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93.70</w:t>
      </w:r>
      <w:r>
        <w:rPr>
          <w:rFonts w:hint="eastAsia" w:ascii="仿宋_GB2312" w:hAnsi="仿宋_GB2312" w:eastAsia="仿宋_GB2312" w:cs="仿宋_GB2312"/>
          <w:highlight w:val="none"/>
        </w:rPr>
        <w:t>%，空气质量属轻度污染的天数为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highlight w:val="none"/>
        </w:rPr>
        <w:t>天，占全年的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6.02</w:t>
      </w:r>
      <w:r>
        <w:rPr>
          <w:rFonts w:hint="eastAsia" w:ascii="仿宋_GB2312" w:hAnsi="仿宋_GB2312" w:eastAsia="仿宋_GB2312" w:cs="仿宋_GB2312"/>
          <w:highlight w:val="none"/>
        </w:rPr>
        <w:t>%，重度污染天数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天，占全年的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0.29</w:t>
      </w:r>
      <w:r>
        <w:rPr>
          <w:rFonts w:hint="eastAsia" w:ascii="仿宋_GB2312" w:hAnsi="仿宋_GB2312" w:eastAsia="仿宋_GB2312" w:cs="仿宋_GB2312"/>
          <w:highlight w:val="none"/>
        </w:rPr>
        <w:t>%。二氧化硫、二氧化氮、可吸入颗粒物、一氧化碳、臭氧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</w:rPr>
        <w:t>细颗粒六项年平均浓度值均达到国家《环境空气质量标准》（GB 3095-2012）二级标准。较201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年，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一氧化碳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臭氧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年均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浓度与201</w:t>
      </w:r>
      <w:r>
        <w:rPr>
          <w:rFonts w:hint="eastAsia" w:ascii="仿宋_GB2312" w:hAnsi="仿宋_GB2312" w:eastAsia="仿宋_GB2312" w:cs="仿宋_GB2312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有所上升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，其余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个项目浓度均有不同程度的下降，空气质量好转。</w:t>
      </w:r>
      <w:r>
        <w:rPr>
          <w:rFonts w:hint="eastAsia" w:ascii="仿宋_GB2312" w:hAnsi="仿宋_GB2312" w:eastAsia="仿宋_GB2312" w:cs="仿宋_GB2312"/>
          <w:highlight w:val="none"/>
        </w:rPr>
        <w:t>影响城区空气质量的主要污染物是臭氧和细颗粒物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（首要污染物中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臭氧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占比为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58.0%，</w:t>
      </w:r>
      <w:r>
        <w:rPr>
          <w:rFonts w:hint="eastAsia" w:ascii="仿宋_GB2312" w:hAnsi="仿宋_GB2312" w:eastAsia="仿宋_GB2312" w:cs="仿宋_GB2312"/>
          <w:highlight w:val="none"/>
        </w:rPr>
        <w:t>细颗粒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物占比为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25.8%）</w:t>
      </w:r>
      <w:r>
        <w:rPr>
          <w:rFonts w:hint="eastAsia" w:ascii="仿宋_GB2312" w:hAnsi="仿宋_GB2312" w:eastAsia="仿宋_GB2312" w:cs="仿宋_GB2312"/>
          <w:highlight w:val="none"/>
        </w:rPr>
        <w:t>，其主要原因为机动车尾气以及道路交通运输、建筑工地、周边企业废气排放所产生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所致</w:t>
      </w:r>
      <w:r>
        <w:rPr>
          <w:rFonts w:hint="eastAsia" w:ascii="仿宋_GB2312" w:hAnsi="仿宋_GB2312" w:eastAsia="仿宋_GB2312" w:cs="仿宋_GB2312"/>
          <w:highlight w:val="none"/>
        </w:rPr>
        <w:t>。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</w:rPr>
        <w:t>降尘状况达标，年均值有所下降；降水情况与201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年相比，降水中酸雨频率有所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城区集中式</w:t>
      </w:r>
      <w:r>
        <w:rPr>
          <w:rFonts w:hint="eastAsia" w:ascii="仿宋_GB2312" w:hAnsi="仿宋_GB2312" w:eastAsia="仿宋_GB2312" w:cs="仿宋_GB2312"/>
          <w:highlight w:val="none"/>
        </w:rPr>
        <w:t>饮用水源（苍村水）水质优；全区地表水系中北江河白沙段、坑口石角河、樟市河、马坝河出口水质均达标；梅花河出口水质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检测项目中氟化物超出</w:t>
      </w:r>
      <w:r>
        <w:rPr>
          <w:rFonts w:hint="eastAsia" w:ascii="仿宋_GB2312" w:hAnsi="仿宋_GB2312" w:eastAsia="仿宋_GB2312" w:cs="仿宋_GB2312"/>
          <w:szCs w:val="28"/>
          <w:highlight w:val="none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类标准，属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劣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Ⅴ水质，</w:t>
      </w:r>
      <w:r>
        <w:rPr>
          <w:rFonts w:hint="eastAsia" w:ascii="仿宋_GB2312" w:hAnsi="仿宋_GB2312" w:eastAsia="仿宋_GB2312" w:cs="仿宋_GB2312"/>
          <w:highlight w:val="none"/>
        </w:rPr>
        <w:t>主要原因为韶钢公司污水处理厂污水的排入影响造成。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城市区域环境噪声、交通噪声达标，但交通噪声、生活噪声瞬间值超标现象存在，餐饮、娱乐噪声扰民时有出现。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b w:val="0"/>
          <w:bCs/>
          <w:highlight w:val="none"/>
        </w:rPr>
      </w:pPr>
      <w:r>
        <w:rPr>
          <w:rFonts w:hint="eastAsia" w:ascii="楷体" w:hAnsi="楷体" w:eastAsia="楷体" w:cs="楷体"/>
          <w:b w:val="0"/>
          <w:bCs/>
          <w:highlight w:val="none"/>
        </w:rPr>
        <w:t>一、城市区域空气质量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highlight w:val="none"/>
        </w:rPr>
        <w:t>二氧化硫（SO</w:t>
      </w:r>
      <w:r>
        <w:rPr>
          <w:rFonts w:hint="eastAsia" w:ascii="楷体" w:hAnsi="楷体" w:eastAsia="楷体" w:cs="楷体"/>
          <w:highlight w:val="none"/>
          <w:vertAlign w:val="subscript"/>
        </w:rPr>
        <w:t>2</w:t>
      </w:r>
      <w:r>
        <w:rPr>
          <w:rFonts w:hint="eastAsia" w:ascii="楷体" w:hAnsi="楷体" w:eastAsia="楷体" w:cs="楷体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、年平均值为0.01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。评价标准执行《环境空气质量标准》（GB3095-2012）二级标准（限值为0.06mg/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），二氧化硫年平均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年的年平均值0.01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相比，下降了0.00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35.29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highlight w:val="none"/>
        </w:rPr>
        <w:t>二氧化氮（NO</w:t>
      </w:r>
      <w:r>
        <w:rPr>
          <w:rFonts w:hint="eastAsia" w:ascii="楷体" w:hAnsi="楷体" w:eastAsia="楷体" w:cs="楷体"/>
          <w:highlight w:val="none"/>
          <w:vertAlign w:val="subscript"/>
        </w:rPr>
        <w:t>2</w:t>
      </w:r>
      <w:r>
        <w:rPr>
          <w:rFonts w:hint="eastAsia" w:ascii="楷体" w:hAnsi="楷体" w:eastAsia="楷体" w:cs="楷体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asciiTheme="minorEastAsia" w:hAnsiTheme="minorEastAsia" w:eastAsiaTheme="minorEastAsia"/>
          <w:b/>
          <w:bCs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。评价标准执行《环境空气质量标准》（GB3095-2012）二级标准（限值为0.04mg/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），二氧化氮年平均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相比，下降了0.00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19.44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highlight w:val="none"/>
        </w:rPr>
        <w:t>可吸入颗粒物（PM</w:t>
      </w:r>
      <w:r>
        <w:rPr>
          <w:rFonts w:hint="eastAsia" w:ascii="楷体" w:hAnsi="楷体" w:eastAsia="楷体" w:cs="楷体"/>
          <w:highlight w:val="none"/>
          <w:vertAlign w:val="subscript"/>
        </w:rPr>
        <w:t>10</w:t>
      </w:r>
      <w:r>
        <w:rPr>
          <w:rFonts w:hint="eastAsia" w:ascii="楷体" w:hAnsi="楷体" w:eastAsia="楷体" w:cs="楷体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全年日均浓度最大值为0.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。评价标准执行《环境空气质量标准》（GB3095-2012）二级标准（限值为0.07mg/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），可吸入颗粒物年平均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相比，下降了0.00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14.55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一氧化碳（CO）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全年日均浓度最大值为2.6mg/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、年平均值为1.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。评价标准执行《环境空气质量标准》（GB3095-2012）二级标准（限值为4mg/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3）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，一氧化碳年平均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年的年平均值1.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，上升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了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5.88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textAlignment w:val="auto"/>
        <w:rPr>
          <w:rFonts w:hint="eastAsia" w:ascii="楷体" w:hAnsi="楷体" w:eastAsia="楷体" w:cs="楷体"/>
          <w:szCs w:val="22"/>
          <w:highlight w:val="none"/>
        </w:rPr>
      </w:pPr>
      <w:r>
        <w:rPr>
          <w:rFonts w:hint="eastAsia" w:ascii="楷体" w:hAnsi="楷体" w:eastAsia="楷体" w:cs="楷体"/>
          <w:szCs w:val="22"/>
          <w:highlight w:val="none"/>
        </w:rPr>
        <w:t>臭氧（O</w:t>
      </w:r>
      <w:r>
        <w:rPr>
          <w:rFonts w:hint="eastAsia" w:ascii="楷体" w:hAnsi="楷体" w:eastAsia="楷体" w:cs="楷体"/>
          <w:szCs w:val="22"/>
          <w:highlight w:val="none"/>
          <w:vertAlign w:val="subscript"/>
        </w:rPr>
        <w:t>3</w:t>
      </w:r>
      <w:r>
        <w:rPr>
          <w:rFonts w:hint="eastAsia" w:ascii="楷体" w:hAnsi="楷体" w:eastAsia="楷体" w:cs="楷体"/>
          <w:szCs w:val="22"/>
          <w:highlight w:val="non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全年日均浓度最大值为0.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、年平均值为0.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。评价标准执行《环境空气质量标准》（GB3095-2012）二级标准（限值为0.16mg/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），臭氧年平均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0.143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，上升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了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0.002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szCs w:val="22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Cs w:val="22"/>
          <w:highlight w:val="none"/>
          <w:lang w:eastAsia="zh-CN"/>
        </w:rPr>
        <w:t>六）</w:t>
      </w:r>
      <w:r>
        <w:rPr>
          <w:rFonts w:hint="eastAsia" w:ascii="楷体" w:hAnsi="楷体" w:eastAsia="楷体" w:cs="楷体"/>
          <w:szCs w:val="22"/>
          <w:highlight w:val="none"/>
        </w:rPr>
        <w:t>细颗粒物（PM</w:t>
      </w:r>
      <w:r>
        <w:rPr>
          <w:rFonts w:hint="eastAsia" w:ascii="楷体" w:hAnsi="楷体" w:eastAsia="楷体" w:cs="楷体"/>
          <w:szCs w:val="22"/>
          <w:highlight w:val="none"/>
          <w:vertAlign w:val="subscript"/>
        </w:rPr>
        <w:t>2.5</w:t>
      </w:r>
      <w:r>
        <w:rPr>
          <w:rFonts w:hint="eastAsia" w:ascii="楷体" w:hAnsi="楷体" w:eastAsia="楷体" w:cs="楷体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全年日均浓度最大值为0.1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、最小值为0.003mg/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、年平均值为0.0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。评价标准执行《环境空气质量标准》（GB3095-2012）二级标准（限值为0.035mg/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），细颗粒物年平均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浓度达标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年的年平均值0.03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相比，下降了0.00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 xml:space="preserve"> 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20.51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（注：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PM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bscript"/>
        </w:rPr>
        <w:t>2.5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日均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浓度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最大值出现时间为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2月4日，当日日均浓度为155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mg/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产生主要因素为烟花炮竹禁放区域外烟花爆竹燃放产生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细颗粒物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扩散所致。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）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Cs/>
          <w:highlight w:val="none"/>
        </w:rPr>
      </w:pPr>
      <w:r>
        <w:rPr>
          <w:rFonts w:hint="eastAsia" w:ascii="楷体" w:hAnsi="楷体" w:eastAsia="楷体" w:cs="楷体"/>
          <w:bCs/>
          <w:highlight w:val="none"/>
        </w:rPr>
        <w:t>表1 《环境空气质量标准》（GB3095-2012）中污染物浓度限值</w:t>
      </w:r>
    </w:p>
    <w:tbl>
      <w:tblPr>
        <w:tblStyle w:val="6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279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污染物名称</w:t>
            </w:r>
          </w:p>
        </w:tc>
        <w:tc>
          <w:tcPr>
            <w:tcW w:w="5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年平均浓度限值（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2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一级标准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二级标准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二氧化硫（SO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0.020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二氧化氮（NO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0.040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可吸入颗粒物（PM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sub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0.040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一氧化碳（CO）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臭氧（O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0.100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细颗粒物（PM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subscript"/>
              </w:rPr>
              <w:t>2.5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0.015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  <w:szCs w:val="24"/>
                <w:highlight w:val="none"/>
              </w:rPr>
              <w:t>0.035</w:t>
            </w:r>
          </w:p>
        </w:tc>
      </w:tr>
    </w:tbl>
    <w:p>
      <w:pPr>
        <w:spacing w:line="640" w:lineRule="exact"/>
        <w:rPr>
          <w:rFonts w:hint="eastAsia" w:ascii="楷体" w:hAnsi="楷体" w:eastAsia="楷体" w:cs="楷体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highlight w:val="none"/>
        </w:rPr>
        <w:t>　</w:t>
      </w:r>
      <w:r>
        <w:rPr>
          <w:rFonts w:hint="eastAsia" w:asciiTheme="minorEastAsia" w:hAnsiTheme="minorEastAsia" w:eastAsiaTheme="minorEastAsia"/>
          <w:b/>
          <w:bCs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highlight w:val="none"/>
          <w:lang w:eastAsia="zh-CN"/>
        </w:rPr>
        <w:t>（七）</w:t>
      </w:r>
      <w:r>
        <w:rPr>
          <w:rFonts w:hint="eastAsia" w:ascii="楷体" w:hAnsi="楷体" w:eastAsia="楷体" w:cs="楷体"/>
          <w:highlight w:val="none"/>
        </w:rPr>
        <w:t>空气质量监测情况分析</w:t>
      </w:r>
    </w:p>
    <w:p>
      <w:pPr>
        <w:spacing w:line="640" w:lineRule="exact"/>
        <w:jc w:val="center"/>
        <w:rPr>
          <w:rFonts w:hint="eastAsia" w:ascii="楷体" w:hAnsi="楷体" w:eastAsia="楷体" w:cs="楷体"/>
          <w:bCs/>
          <w:highlight w:val="none"/>
        </w:rPr>
      </w:pPr>
      <w:r>
        <w:rPr>
          <w:rFonts w:hint="eastAsia" w:ascii="楷体" w:hAnsi="楷体" w:eastAsia="楷体" w:cs="楷体"/>
          <w:bCs/>
          <w:highlight w:val="none"/>
        </w:rPr>
        <w:t xml:space="preserve">表2 </w:t>
      </w:r>
      <w:r>
        <w:rPr>
          <w:rFonts w:hint="eastAsia" w:ascii="楷体" w:hAnsi="楷体" w:eastAsia="楷体" w:cs="楷体"/>
          <w:highlight w:val="none"/>
        </w:rPr>
        <w:t>近三年我区城区二氧化硫、二氧化氮等六项污染物比较表</w:t>
      </w:r>
    </w:p>
    <w:tbl>
      <w:tblPr>
        <w:tblStyle w:val="6"/>
        <w:tblpPr w:leftFromText="180" w:rightFromText="180" w:vertAnchor="text" w:horzAnchor="page" w:tblpX="1670" w:tblpY="323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5"/>
        <w:gridCol w:w="1056"/>
        <w:gridCol w:w="1469"/>
        <w:gridCol w:w="984"/>
        <w:gridCol w:w="970"/>
        <w:gridCol w:w="1077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65" w:type="dxa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4" w:firstLineChars="148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3" w:firstLineChars="49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3" w:firstLineChars="49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66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年平均浓度值（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2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全年优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良天数（天）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5" w:type="dxa"/>
            <w:vMerge w:val="continue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1" w:firstLineChars="297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二氧化硫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（SO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" w:leftChars="-98" w:right="-291" w:rightChars="-103" w:hanging="278" w:hangingChars="131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二氧化氮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(NO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24" w:leftChars="-71" w:right="-107" w:rightChars="-38" w:hanging="176" w:hangingChars="8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可吸入颗粒物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(PM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vertAlign w:val="sub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" w:leftChars="-98" w:right="-297" w:rightChars="-105" w:hanging="278" w:hangingChars="131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一氧化碳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" w:leftChars="-98" w:right="-297" w:rightChars="-105" w:hanging="278" w:hangingChars="1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（CO）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臭氧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（O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细颗粒物（PM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vertAlign w:val="subscript"/>
              </w:rPr>
              <w:t>2.5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2017年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0.020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0.038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0.059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1.7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0.154</w:t>
            </w:r>
          </w:p>
        </w:tc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0.042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2018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0.01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0.03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0.05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0.1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0.03</w:t>
            </w: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0.029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0.047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1.8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0.145</w:t>
            </w:r>
          </w:p>
        </w:tc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0.031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327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（1）设于区监测站楼顶的空气自动连续监测结果表明：201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年我区城市区域环境空气质量有效监测天数为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349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天，优良天数3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天，空气质量优良率为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93.70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%。二氧化硫、二氧化氮、可吸入颗粒物、细颗粒物、一氧化碳、臭氧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个监测项目中，二氧化硫、二氧化氮、可吸入颗粒物、细颗粒物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个项目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年平均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浓度与201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年均有不同程度的下降，空气质量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有所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好转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，另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一氧化碳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臭氧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年均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浓度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较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略有上升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。影响城区空气质量的主要污染物是臭氧（O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bscript"/>
        </w:rPr>
        <w:t>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）和细颗粒物（PM</w:t>
      </w:r>
      <w:r>
        <w:rPr>
          <w:rFonts w:hint="eastAsia" w:ascii="仿宋_GB2312" w:hAnsi="仿宋_GB2312" w:eastAsia="仿宋_GB2312" w:cs="仿宋_GB2312"/>
          <w:szCs w:val="22"/>
          <w:highlight w:val="none"/>
          <w:vertAlign w:val="subscript"/>
        </w:rPr>
        <w:t>2.5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（2）201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年我区各空气污染物年平均浓度值均达到国家《环境空气质量标准》（GB 3095-2012）二级标准，空气质量有所好转，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空气污染指数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达标率也由201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年的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89.01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%上升到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93.70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升了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4.69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%，主要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得利于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区委区政府高度重视，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制定了行之有效的大气污染防治措施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，特别加大了扬尘整治力度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；二是对周边企业排污进行了有效监管，减少废气污染物的排放；三是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对“散乱污”企业进行了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整治；四是对道路交通、建筑施工工地扬尘进行了管控；五是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加大了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污染天气预警及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应急管控力度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，有效防止污染的蔓延与加重。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（八）</w:t>
      </w:r>
      <w:r>
        <w:rPr>
          <w:rFonts w:hint="eastAsia" w:ascii="楷体" w:hAnsi="楷体" w:eastAsia="楷体" w:cs="楷体"/>
          <w:highlight w:val="none"/>
        </w:rPr>
        <w:t>降尘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降尘监测点设于区环境监测站楼顶。全年进行不间断监测，监测数据见表3（201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年曲江城区空气降尘监测结果统计表）所示：</w:t>
      </w:r>
    </w:p>
    <w:p>
      <w:pPr>
        <w:spacing w:line="640" w:lineRule="exact"/>
        <w:jc w:val="center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表3　201</w:t>
      </w:r>
      <w:r>
        <w:rPr>
          <w:rFonts w:hint="eastAsia" w:ascii="楷体" w:hAnsi="楷体" w:eastAsia="楷体" w:cs="楷体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highlight w:val="none"/>
        </w:rPr>
        <w:t>年曲江城区空气降尘监测结果统计表</w:t>
      </w: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826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监测点位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监测时间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监测结果（吨/平方公里·月）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曲江区环境监测站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1月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2月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3月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4月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5月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6月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7月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8月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9月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10月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11月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12月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1.36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2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</w:rPr>
              <w:t>全年平均</w:t>
            </w:r>
          </w:p>
        </w:tc>
        <w:tc>
          <w:tcPr>
            <w:tcW w:w="40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监测情况分析：对照省推荐标准（8吨/平方公里·月），全年每月监测值均未超标。全年降尘量年平均值为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吨/平方公里·月，对比201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年1.73吨/平方公里·月的年平均值有所下降，降幅为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%。近三年我区城区降尘变化比较见表4。　　　</w:t>
      </w:r>
      <w:r>
        <w:rPr>
          <w:rFonts w:hint="eastAsia" w:asciiTheme="minorEastAsia" w:hAnsiTheme="minorEastAsia" w:eastAsiaTheme="minorEastAsia"/>
          <w:highlight w:val="non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表4　近三年我区城区降尘比较表</w:t>
      </w:r>
    </w:p>
    <w:tbl>
      <w:tblPr>
        <w:tblStyle w:val="6"/>
        <w:tblW w:w="8124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264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64" w:type="dxa"/>
            <w:tcBorders>
              <w:tl2br w:val="single" w:color="auto" w:sz="4" w:space="0"/>
            </w:tcBorders>
          </w:tcPr>
          <w:p>
            <w:pPr>
              <w:spacing w:line="320" w:lineRule="exact"/>
              <w:ind w:firstLine="599" w:firstLineChars="247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3264" w:type="dxa"/>
            <w:vAlign w:val="center"/>
          </w:tcPr>
          <w:p>
            <w:pPr>
              <w:spacing w:line="320" w:lineRule="exact"/>
              <w:ind w:left="-40" w:leftChars="-98" w:right="-407" w:rightChars="-144" w:hanging="237" w:hangingChars="9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浓度范围</w:t>
            </w:r>
          </w:p>
          <w:p>
            <w:pPr>
              <w:spacing w:line="320" w:lineRule="exact"/>
              <w:ind w:left="-40" w:leftChars="-98" w:right="-407" w:rightChars="-144" w:hanging="237" w:hangingChars="9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（吨/平方公里·月）</w:t>
            </w:r>
          </w:p>
        </w:tc>
        <w:tc>
          <w:tcPr>
            <w:tcW w:w="30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年平均浓度值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（吨/平方公里·月）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2017年</w:t>
            </w:r>
          </w:p>
        </w:tc>
        <w:tc>
          <w:tcPr>
            <w:tcW w:w="32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1.11～2.74</w:t>
            </w:r>
          </w:p>
        </w:tc>
        <w:tc>
          <w:tcPr>
            <w:tcW w:w="30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2018年</w:t>
            </w:r>
          </w:p>
        </w:tc>
        <w:tc>
          <w:tcPr>
            <w:tcW w:w="32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1.06～2.75</w:t>
            </w:r>
          </w:p>
        </w:tc>
        <w:tc>
          <w:tcPr>
            <w:tcW w:w="30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32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～2.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30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（九）</w:t>
      </w:r>
      <w:r>
        <w:rPr>
          <w:rFonts w:hint="eastAsia" w:ascii="楷体" w:hAnsi="楷体" w:eastAsia="楷体" w:cs="楷体"/>
          <w:highlight w:val="none"/>
        </w:rPr>
        <w:t>降水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降水监测点设于区环境监测站楼顶，全年共收集降水样品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个，降水pH值范围为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3.90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～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6.88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，降水pH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平均值为4.9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，其中酸雨样品数为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个，全年酸雨频率为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54.5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%，全年采水量为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1400.3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毫米，其中酸雨量为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776.3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毫米，占采水量的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55.4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%。监测数据见表5（201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年曲江城区降水监测结果统计表）：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3" w:leftChars="100"/>
        <w:jc w:val="center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表5　201</w:t>
      </w:r>
      <w:r>
        <w:rPr>
          <w:rFonts w:hint="eastAsia" w:ascii="楷体" w:hAnsi="楷体" w:eastAsia="楷体" w:cs="楷体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highlight w:val="none"/>
        </w:rPr>
        <w:t>年曲江城区降水监测结果统计表</w:t>
      </w:r>
    </w:p>
    <w:tbl>
      <w:tblPr>
        <w:tblStyle w:val="6"/>
        <w:tblW w:w="8702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99"/>
        <w:gridCol w:w="1525"/>
        <w:gridCol w:w="1811"/>
        <w:gridCol w:w="161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监测点位</w:t>
            </w:r>
          </w:p>
        </w:tc>
        <w:tc>
          <w:tcPr>
            <w:tcW w:w="11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监测月份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样品总数（个）</w:t>
            </w:r>
          </w:p>
        </w:tc>
        <w:tc>
          <w:tcPr>
            <w:tcW w:w="1811" w:type="dxa"/>
            <w:noWrap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49" w:right="-172" w:rightChars="-61" w:hanging="149" w:hangingChars="70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酸雨样品数（个）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酸雨频率（％）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  <w:t>降水pH均值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监测站</w:t>
            </w: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1月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2月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3月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4月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5月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6月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7月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8月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9月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10月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11月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12月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9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全年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612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4.96</w:t>
            </w:r>
          </w:p>
        </w:tc>
      </w:tr>
    </w:tbl>
    <w:p>
      <w:pPr>
        <w:spacing w:line="560" w:lineRule="exact"/>
        <w:ind w:firstLine="486" w:firstLineChars="2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18"/>
          <w:highlight w:val="none"/>
          <w:lang w:eastAsia="zh-CN"/>
        </w:rPr>
        <w:t>（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注：降水样品pH值小于5.6时为酸雨。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highlight w:val="none"/>
        </w:rPr>
        <w:t>　</w:t>
      </w:r>
    </w:p>
    <w:p>
      <w:pPr>
        <w:jc w:val="center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楷体" w:hAnsi="楷体" w:eastAsia="楷体" w:cs="楷体"/>
          <w:highlight w:val="none"/>
        </w:rPr>
        <w:t>表6  近三年城区降雨情况比较表</w:t>
      </w:r>
    </w:p>
    <w:tbl>
      <w:tblPr>
        <w:tblStyle w:val="6"/>
        <w:tblW w:w="8124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059"/>
        <w:gridCol w:w="175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44" w:type="dxa"/>
            <w:tcBorders>
              <w:tl2br w:val="single" w:color="auto" w:sz="4" w:space="0"/>
            </w:tcBorders>
          </w:tcPr>
          <w:p>
            <w:pPr>
              <w:spacing w:line="420" w:lineRule="exact"/>
              <w:ind w:firstLine="842" w:firstLineChars="347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项目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2059" w:type="dxa"/>
            <w:vAlign w:val="center"/>
          </w:tcPr>
          <w:p>
            <w:pPr>
              <w:spacing w:line="420" w:lineRule="exact"/>
              <w:ind w:left="-1" w:leftChars="-38" w:right="-107" w:rightChars="-38" w:hanging="106" w:hangingChars="44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降水pH值范围</w:t>
            </w:r>
          </w:p>
        </w:tc>
        <w:tc>
          <w:tcPr>
            <w:tcW w:w="1753" w:type="dxa"/>
            <w:vAlign w:val="center"/>
          </w:tcPr>
          <w:p>
            <w:pPr>
              <w:spacing w:line="420" w:lineRule="exact"/>
              <w:ind w:left="-1" w:leftChars="-38" w:right="-107" w:rightChars="-38" w:hanging="106" w:hangingChars="44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降水pH均值</w:t>
            </w:r>
          </w:p>
        </w:tc>
        <w:tc>
          <w:tcPr>
            <w:tcW w:w="196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  <w:t>酸雨频率（%）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4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2017年</w:t>
            </w:r>
          </w:p>
        </w:tc>
        <w:tc>
          <w:tcPr>
            <w:tcW w:w="20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4.10～7.34</w:t>
            </w:r>
          </w:p>
        </w:tc>
        <w:tc>
          <w:tcPr>
            <w:tcW w:w="175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4.99</w:t>
            </w:r>
          </w:p>
        </w:tc>
        <w:tc>
          <w:tcPr>
            <w:tcW w:w="196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56.1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4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2018年</w:t>
            </w:r>
          </w:p>
        </w:tc>
        <w:tc>
          <w:tcPr>
            <w:tcW w:w="20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4.00～7.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4.9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68" w:type="dxa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2019年</w:t>
            </w:r>
          </w:p>
        </w:tc>
        <w:tc>
          <w:tcPr>
            <w:tcW w:w="20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3.90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6.88</w:t>
            </w:r>
          </w:p>
        </w:tc>
        <w:tc>
          <w:tcPr>
            <w:tcW w:w="175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4.96</w:t>
            </w:r>
          </w:p>
        </w:tc>
        <w:tc>
          <w:tcPr>
            <w:tcW w:w="196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54.5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监测情况分析：本年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酸雨频率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54.5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%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，同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比201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年有所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，降水pH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平均值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4.9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6，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与201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cs="楷体" w:asciiTheme="minorEastAsia" w:hAnsiTheme="minorEastAsia" w:eastAsiaTheme="minorEastAsia"/>
          <w:b/>
          <w:highlight w:val="none"/>
        </w:rPr>
      </w:pPr>
      <w:r>
        <w:rPr>
          <w:rFonts w:hint="eastAsia" w:ascii="楷体" w:hAnsi="楷体" w:eastAsia="楷体" w:cs="楷体"/>
          <w:b w:val="0"/>
          <w:bCs/>
          <w:highlight w:val="none"/>
        </w:rPr>
        <w:t>二、地表水环境质量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对北江河白沙段（左、中、右断面）、马坝河出口、饮用水源等5条主要河流8个断面水质进行监测，监测项目有24个因子；饮用水源监测项目有32个因子。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各地表水水质保护目标和功能区划依据《广东省地表水环境功能区划》进行划分，水环境质量评价根据应实现的水域功能类别，选取《地表水环境质量标准》（GB 3838-2002）相应的类别标准进行单因子评价（《地表水环境质量标准》（GB 3838-2002）中水域功能分类见附后）。一年中监测多次的河流，仅对监测因子的年均值进行评价。水质状况见表7（201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年曲江区主要河流水质状况表）：</w:t>
      </w:r>
    </w:p>
    <w:tbl>
      <w:tblPr>
        <w:tblStyle w:val="6"/>
        <w:tblpPr w:leftFromText="180" w:rightFromText="180" w:vertAnchor="text" w:horzAnchor="page" w:tblpX="1442" w:tblpY="789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72"/>
        <w:gridCol w:w="961"/>
        <w:gridCol w:w="1180"/>
        <w:gridCol w:w="122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8" w:right="-107" w:rightChars="-38" w:hanging="50" w:hangingChars="2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河段名称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64" w:leftChars="-98" w:right="-215" w:rightChars="-76" w:hanging="213" w:hangingChars="8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水质目标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水质现状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水质状况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主要污染指标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北江河白沙段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马坝河出口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良好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石角河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梅花河出口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重度污染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樟市河出口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城区饮用水源（苍村水库）</w:t>
            </w:r>
          </w:p>
        </w:tc>
        <w:tc>
          <w:tcPr>
            <w:tcW w:w="961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优 </w:t>
            </w:r>
          </w:p>
        </w:tc>
        <w:tc>
          <w:tcPr>
            <w:tcW w:w="1768" w:type="dxa"/>
            <w:vAlign w:val="center"/>
          </w:tcPr>
          <w:p>
            <w:pPr>
              <w:spacing w:line="460" w:lineRule="exact"/>
              <w:ind w:left="-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9" w:firstLineChars="198"/>
        <w:jc w:val="center"/>
        <w:textAlignment w:val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="楷体" w:hAnsi="楷体" w:eastAsia="楷体" w:cs="楷体"/>
          <w:highlight w:val="none"/>
        </w:rPr>
        <w:t>表7　20</w:t>
      </w:r>
      <w:r>
        <w:rPr>
          <w:rFonts w:hint="eastAsia" w:ascii="楷体" w:hAnsi="楷体" w:eastAsia="楷体" w:cs="楷体"/>
          <w:highlight w:val="none"/>
          <w:lang w:val="en-US" w:eastAsia="zh-CN"/>
        </w:rPr>
        <w:t>19</w:t>
      </w:r>
      <w:r>
        <w:rPr>
          <w:rFonts w:hint="eastAsia" w:ascii="楷体" w:hAnsi="楷体" w:eastAsia="楷体" w:cs="楷体"/>
          <w:highlight w:val="none"/>
        </w:rPr>
        <w:t>年曲江区主要河流水质状况表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各地表水水质状况综述如下：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highlight w:val="none"/>
        </w:rPr>
        <w:t>北江河（白沙段）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该河流白沙段设左、中、右三条垂线断面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，监测频率为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每月一次，该河段水质目标为Ⅱ类，连续三年监测状况为Ⅱ类，水质状况优。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highlight w:val="none"/>
        </w:rPr>
        <w:t>马坝河出口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监测频率为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每月一次，水质已由2014年的Ⅳ类转为Ⅲ类，水质状况有所好转，状况良好。但因韶钢公司污水处理厂污水的排入，造成氟化物、氨氮等因子浓度有较大幅度提高，水质不能稳定达标。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highlight w:val="none"/>
        </w:rPr>
        <w:t>石角河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监测频率为单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月一次，属地表水Ⅱ类水质，水质状况优。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highlight w:val="none"/>
        </w:rPr>
        <w:t>梅花河出口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监测频率为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每月一次，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主要污染指标为氟化物、氨氮，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水质状况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为重度污染。但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因韶钢公司污水处理厂污水的排入，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造成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氟化物超出功能区划的水质目标Ⅳ类标准，属地表水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劣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Ⅴ类水质。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（五）</w:t>
      </w:r>
      <w:r>
        <w:rPr>
          <w:rFonts w:hint="eastAsia" w:ascii="楷体" w:hAnsi="楷体" w:eastAsia="楷体" w:cs="楷体"/>
          <w:highlight w:val="none"/>
        </w:rPr>
        <w:t>樟市河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监测频率为每季度一次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，属地表水Ⅱ类水质，水质状况优。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（六）</w:t>
      </w:r>
      <w:r>
        <w:rPr>
          <w:rFonts w:hint="eastAsia" w:ascii="楷体" w:hAnsi="楷体" w:eastAsia="楷体" w:cs="楷体"/>
          <w:highlight w:val="none"/>
        </w:rPr>
        <w:t>城区饮用水源（苍村</w:t>
      </w:r>
      <w:r>
        <w:rPr>
          <w:rFonts w:hint="eastAsia" w:ascii="楷体" w:hAnsi="楷体" w:eastAsia="楷体" w:cs="楷体"/>
          <w:highlight w:val="none"/>
          <w:lang w:eastAsia="zh-CN"/>
        </w:rPr>
        <w:t>水库</w:t>
      </w:r>
      <w:r>
        <w:rPr>
          <w:rFonts w:hint="eastAsia" w:ascii="楷体" w:hAnsi="楷体" w:eastAsia="楷体" w:cs="楷体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监测频率为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每月一次，属地表水Ⅱ类水质，水质状况优，适用于集中式生活饮用水。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asciiTheme="minorEastAsia" w:hAnsiTheme="minorEastAsia" w:eastAsiaTheme="minorEastAsia"/>
          <w:bCs/>
          <w:szCs w:val="28"/>
          <w:highlight w:val="none"/>
        </w:rPr>
      </w:pPr>
      <w:r>
        <w:rPr>
          <w:rFonts w:hint="eastAsia" w:ascii="楷体" w:hAnsi="楷体" w:eastAsia="楷体" w:cs="楷体"/>
          <w:szCs w:val="28"/>
          <w:highlight w:val="none"/>
          <w:lang w:eastAsia="zh-CN"/>
        </w:rPr>
        <w:t>（七）</w:t>
      </w:r>
      <w:r>
        <w:rPr>
          <w:rFonts w:hint="eastAsia" w:ascii="楷体" w:hAnsi="楷体" w:eastAsia="楷体" w:cs="楷体"/>
          <w:szCs w:val="28"/>
          <w:highlight w:val="none"/>
        </w:rPr>
        <w:t>各河段年度水质状况变化情况（见表8）</w:t>
      </w:r>
    </w:p>
    <w:p>
      <w:pPr>
        <w:spacing w:line="600" w:lineRule="exact"/>
        <w:jc w:val="center"/>
        <w:rPr>
          <w:rFonts w:hint="eastAsia" w:ascii="楷体" w:hAnsi="楷体" w:eastAsia="楷体" w:cs="楷体"/>
          <w:bCs/>
          <w:szCs w:val="28"/>
          <w:highlight w:val="none"/>
        </w:rPr>
      </w:pPr>
      <w:r>
        <w:rPr>
          <w:rFonts w:hint="eastAsia" w:ascii="楷体" w:hAnsi="楷体" w:eastAsia="楷体" w:cs="楷体"/>
          <w:bCs/>
          <w:szCs w:val="28"/>
          <w:highlight w:val="none"/>
        </w:rPr>
        <w:t>表8</w:t>
      </w:r>
      <w:r>
        <w:rPr>
          <w:rFonts w:hint="eastAsia" w:ascii="楷体" w:hAnsi="楷体" w:eastAsia="楷体" w:cs="楷体"/>
          <w:highlight w:val="none"/>
        </w:rPr>
        <w:t>　</w:t>
      </w:r>
      <w:r>
        <w:rPr>
          <w:rFonts w:hint="eastAsia" w:ascii="楷体" w:hAnsi="楷体" w:eastAsia="楷体" w:cs="楷体"/>
          <w:bCs/>
          <w:szCs w:val="28"/>
          <w:highlight w:val="none"/>
        </w:rPr>
        <w:t>各河段年度水质状况变化情况</w:t>
      </w:r>
    </w:p>
    <w:tbl>
      <w:tblPr>
        <w:tblStyle w:val="6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74"/>
        <w:gridCol w:w="874"/>
        <w:gridCol w:w="874"/>
        <w:gridCol w:w="847"/>
        <w:gridCol w:w="847"/>
        <w:gridCol w:w="848"/>
        <w:gridCol w:w="850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tcBorders>
              <w:tl2br w:val="single" w:color="auto" w:sz="4" w:space="0"/>
            </w:tcBorders>
          </w:tcPr>
          <w:p>
            <w:pPr>
              <w:spacing w:line="440" w:lineRule="exact"/>
              <w:ind w:firstLine="723" w:firstLineChars="29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年份</w:t>
            </w:r>
          </w:p>
          <w:p>
            <w:pPr>
              <w:spacing w:line="440" w:lineRule="exact"/>
              <w:ind w:right="-104" w:rightChars="-3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ind w:right="-104" w:rightChars="-3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河段名称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2017年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2018年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6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现状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现状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现状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440" w:lineRule="exact"/>
              <w:ind w:left="14" w:leftChars="-38" w:right="-104" w:rightChars="-37" w:hanging="121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北江河白沙段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440" w:lineRule="exact"/>
              <w:ind w:left="-1" w:leftChars="-38" w:hanging="106" w:hangingChars="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马坝河出口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Ⅲ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石角河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ind w:left="-1" w:leftChars="-38" w:hanging="106" w:hangingChars="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梅花河出口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轻度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污染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轻度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污染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轻度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440" w:lineRule="exact"/>
              <w:ind w:left="-1" w:leftChars="-38" w:hanging="106" w:hangingChars="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樟市河出口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饮用水源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优 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ind w:left="-1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优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6" w:firstLineChars="197"/>
        <w:textAlignment w:val="auto"/>
        <w:rPr>
          <w:rFonts w:hint="eastAsia" w:ascii="楷体" w:hAnsi="楷体" w:eastAsia="楷体" w:cs="楷体"/>
          <w:szCs w:val="28"/>
          <w:highlight w:val="none"/>
        </w:rPr>
      </w:pPr>
      <w:r>
        <w:rPr>
          <w:rFonts w:hint="eastAsia" w:ascii="楷体" w:hAnsi="楷体" w:eastAsia="楷体" w:cs="楷体"/>
          <w:szCs w:val="28"/>
          <w:highlight w:val="none"/>
        </w:rPr>
        <w:t>河流水质状况分析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各河流断面出口水质连续1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年重金属超标率为零，本年度各河流水质状况均变化不大，梅花河出口水质为</w:t>
      </w:r>
      <w:r>
        <w:rPr>
          <w:rFonts w:hint="eastAsia" w:ascii="仿宋_GB2312" w:hAnsi="仿宋_GB2312" w:eastAsia="仿宋_GB2312" w:cs="仿宋_GB2312"/>
          <w:szCs w:val="22"/>
          <w:highlight w:val="none"/>
          <w:lang w:eastAsia="zh-CN"/>
        </w:rPr>
        <w:t>劣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Ⅴ类，达不到目标类别，主要原因为韶钢公司污水处理厂污水的排入影响造成。总体而言，各河流断面出口水质除梅花河外，均符合目标水质要求，其中北江河白沙段、马坝河出口水质状况优于目标水质要求。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6" w:firstLineChars="200"/>
        <w:textAlignment w:val="auto"/>
        <w:rPr>
          <w:rFonts w:hint="eastAsia" w:ascii="楷体" w:hAnsi="楷体" w:eastAsia="楷体" w:cs="楷体"/>
          <w:sz w:val="24"/>
          <w:szCs w:val="21"/>
          <w:highlight w:val="none"/>
        </w:rPr>
      </w:pPr>
      <w:r>
        <w:rPr>
          <w:rFonts w:hint="eastAsia" w:ascii="楷体" w:hAnsi="楷体" w:eastAsia="楷体" w:cs="楷体"/>
          <w:sz w:val="24"/>
          <w:szCs w:val="21"/>
          <w:highlight w:val="none"/>
        </w:rPr>
        <w:t>注：关于《地表水环境质量标准》（GB 3838-2002）中水域功能分类的说明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>依据地面水水域使用目的和保护目标将其划分为五类：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Ⅰ类  主要适用于源头水、国家自然保护区；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Ⅱ类  主要适用于集中式生活饮用水地表水源地一级保护区、鱼虾类产卵场等；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Ⅲ类  主要适用于集中式生活饮用水地表水源地二级保护区、鱼虾类越冬场等；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Ⅳ类  主要适用于一般工业用水区及人体非直接接触的娱乐用水区；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Ⅴ类  主要适用于农业用水区及一般景观要求水域。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>根据《地表水环境质量评价办法（试行）》（环办[2011]22号）水温、总氮、粪大肠菌群不作为水质评价指标。</w:t>
      </w:r>
    </w:p>
    <w:p>
      <w:pPr>
        <w:spacing w:line="600" w:lineRule="exact"/>
        <w:ind w:firstLine="566" w:firstLineChars="200"/>
        <w:rPr>
          <w:rFonts w:hint="eastAsia" w:ascii="楷体" w:hAnsi="楷体" w:eastAsia="楷体" w:cs="楷体"/>
          <w:b w:val="0"/>
          <w:bCs/>
          <w:highlight w:val="none"/>
        </w:rPr>
      </w:pPr>
    </w:p>
    <w:p>
      <w:pPr>
        <w:spacing w:line="600" w:lineRule="exact"/>
        <w:ind w:firstLine="566" w:firstLineChars="200"/>
        <w:rPr>
          <w:rFonts w:hint="eastAsia" w:ascii="楷体" w:hAnsi="楷体" w:eastAsia="楷体" w:cs="楷体"/>
          <w:b w:val="0"/>
          <w:bCs/>
          <w:highlight w:val="none"/>
        </w:rPr>
      </w:pPr>
      <w:r>
        <w:rPr>
          <w:rFonts w:hint="eastAsia" w:ascii="楷体" w:hAnsi="楷体" w:eastAsia="楷体" w:cs="楷体"/>
          <w:b w:val="0"/>
          <w:bCs/>
          <w:highlight w:val="none"/>
        </w:rPr>
        <w:t>三、噪声环境质量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highlight w:val="none"/>
        </w:rPr>
        <w:t>区域环境噪声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201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年建成区区域噪声监测按500米×500米网格布设27个监测点位，进行昼间监测，用《声环境质量标准》（GB3096-2008）中二类标准为评价标准（标准值昼间为60分贝、夜间为50分贝）。全年城区区域等效声级昼间平均值为5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highlight w:val="none"/>
        </w:rPr>
        <w:t>分贝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总体均值未超出执行标准。影响城市声环境质量的噪声污染源主要以交通噪声和生活噪声为主。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highlight w:val="none"/>
        </w:rPr>
        <w:t>道路交通噪声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="仿宋_GB2312" w:hAnsi="仿宋_GB2312" w:eastAsia="仿宋_GB2312" w:cs="仿宋_GB2312"/>
          <w:szCs w:val="22"/>
          <w:highlight w:val="none"/>
        </w:rPr>
        <w:t>201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年城区主要交通干线噪声监测在马坝大道、府前路、鞍山路3条交通干线进行，监测路段总长5500米，监测点位13个。3条交通干线监测点位的昼间噪声等效声级加权均值为6</w:t>
      </w:r>
      <w:r>
        <w:rPr>
          <w:rFonts w:hint="eastAsia" w:ascii="仿宋_GB2312" w:hAnsi="仿宋_GB2312" w:eastAsia="仿宋_GB2312" w:cs="仿宋_GB2312"/>
          <w:szCs w:val="2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分贝，未超出《声环境质量标准》（GB3096-2008）四类标准（标准限值昼间为70分贝、夜间为55分贝）。</w:t>
      </w:r>
    </w:p>
    <w:p>
      <w:pPr>
        <w:spacing w:line="640" w:lineRule="exact"/>
        <w:ind w:firstLine="566" w:firstLineChars="200"/>
        <w:rPr>
          <w:rFonts w:hint="eastAsia" w:asciiTheme="minorEastAsia" w:hAnsiTheme="minorEastAsia" w:eastAsiaTheme="minorEastAsia"/>
          <w:highlight w:val="none"/>
        </w:rPr>
        <w:sectPr>
          <w:footerReference r:id="rId3" w:type="default"/>
          <w:pgSz w:w="11907" w:h="16840"/>
          <w:pgMar w:top="1134" w:right="1418" w:bottom="1134" w:left="1418" w:header="851" w:footer="992" w:gutter="0"/>
          <w:pgNumType w:start="1"/>
          <w:cols w:space="720" w:num="1"/>
          <w:docGrid w:type="linesAndChars" w:linePitch="592" w:charSpace="713"/>
        </w:sectPr>
      </w:pPr>
    </w:p>
    <w:p>
      <w:pPr>
        <w:spacing w:line="640" w:lineRule="exact"/>
        <w:ind w:firstLine="726" w:firstLineChars="200"/>
        <w:rPr>
          <w:rFonts w:hint="eastAsia" w:ascii="仿宋_GB2312" w:hAnsi="仿宋_GB2312" w:eastAsia="仿宋_GB2312" w:cs="仿宋_GB2312"/>
          <w:sz w:val="36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6"/>
          <w:bdr w:val="single" w:color="auto" w:sz="4" w:space="0"/>
        </w:rPr>
        <w:t>内部资料</w:t>
      </w:r>
    </w:p>
    <w:p>
      <w:pPr>
        <w:spacing w:line="640" w:lineRule="exact"/>
        <w:ind w:firstLine="566" w:firstLineChars="200"/>
        <w:rPr>
          <w:rFonts w:hint="eastAsia" w:asciiTheme="minorEastAsia" w:hAnsiTheme="minorEastAsia" w:eastAsiaTheme="minorEastAsia"/>
          <w:highlight w:val="none"/>
        </w:rPr>
      </w:pPr>
    </w:p>
    <w:p>
      <w:pPr>
        <w:spacing w:beforeLines="100" w:afterLines="100"/>
        <w:rPr>
          <w:rFonts w:asciiTheme="minorEastAsia" w:hAnsiTheme="minorEastAsia" w:eastAsiaTheme="minorEastAsia"/>
          <w:sz w:val="36"/>
          <w:highlight w:val="none"/>
          <w:bdr w:val="single" w:color="auto" w:sz="4" w:space="0"/>
        </w:rPr>
      </w:pPr>
    </w:p>
    <w:p>
      <w:pPr>
        <w:spacing w:beforeLines="100" w:afterLines="100"/>
        <w:rPr>
          <w:rFonts w:asciiTheme="minorEastAsia" w:hAnsiTheme="minorEastAsia" w:eastAsiaTheme="minorEastAsia"/>
          <w:sz w:val="36"/>
          <w:highlight w:val="none"/>
          <w:bdr w:val="single" w:color="auto" w:sz="4" w:space="0"/>
        </w:rPr>
      </w:pP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sz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52"/>
          <w:highlight w:val="none"/>
        </w:rPr>
        <w:t>二O一</w:t>
      </w:r>
      <w:r>
        <w:rPr>
          <w:rFonts w:hint="eastAsia" w:ascii="方正小标宋简体" w:hAnsi="方正小标宋简体" w:eastAsia="方正小标宋简体" w:cs="方正小标宋简体"/>
          <w:sz w:val="52"/>
          <w:highlight w:val="none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52"/>
          <w:highlight w:val="none"/>
        </w:rPr>
        <w:t>年曲江区环境质量简报</w:t>
      </w:r>
    </w:p>
    <w:p>
      <w:pPr>
        <w:spacing w:beforeLines="100" w:afterLines="100"/>
        <w:jc w:val="center"/>
        <w:rPr>
          <w:rFonts w:asciiTheme="minorEastAsia" w:hAnsiTheme="minorEastAsia" w:eastAsiaTheme="minorEastAsia"/>
          <w:b/>
          <w:bCs/>
          <w:sz w:val="44"/>
          <w:highlight w:val="none"/>
        </w:rPr>
      </w:pPr>
    </w:p>
    <w:p>
      <w:pPr>
        <w:spacing w:beforeLines="100" w:afterLines="100"/>
        <w:jc w:val="center"/>
        <w:rPr>
          <w:rFonts w:asciiTheme="minorEastAsia" w:hAnsiTheme="minorEastAsia" w:eastAsiaTheme="minorEastAsia"/>
          <w:b/>
          <w:bCs/>
          <w:sz w:val="44"/>
          <w:highlight w:val="none"/>
        </w:rPr>
      </w:pPr>
    </w:p>
    <w:p>
      <w:pPr>
        <w:tabs>
          <w:tab w:val="left" w:pos="3860"/>
        </w:tabs>
        <w:ind w:left="1395" w:leftChars="298" w:right="580" w:rightChars="205" w:hanging="552" w:hangingChars="171"/>
        <w:rPr>
          <w:rFonts w:asciiTheme="minorEastAsia" w:hAnsiTheme="minorEastAsia" w:eastAsiaTheme="minorEastAsia"/>
          <w:sz w:val="32"/>
          <w:highlight w:val="none"/>
        </w:rPr>
      </w:pPr>
    </w:p>
    <w:p>
      <w:pPr>
        <w:jc w:val="center"/>
        <w:rPr>
          <w:rFonts w:asciiTheme="minorEastAsia" w:hAnsiTheme="minorEastAsia" w:eastAsiaTheme="minorEastAsia"/>
          <w:sz w:val="30"/>
          <w:highlight w:val="none"/>
        </w:rPr>
      </w:pPr>
    </w:p>
    <w:p>
      <w:pPr>
        <w:jc w:val="center"/>
        <w:rPr>
          <w:rFonts w:asciiTheme="minorEastAsia" w:hAnsiTheme="minorEastAsia" w:eastAsiaTheme="minorEastAsia"/>
          <w:sz w:val="30"/>
          <w:highlight w:val="none"/>
        </w:rPr>
      </w:pPr>
    </w:p>
    <w:p>
      <w:pPr>
        <w:spacing w:line="860" w:lineRule="exact"/>
        <w:jc w:val="center"/>
        <w:rPr>
          <w:rFonts w:asciiTheme="minorEastAsia" w:hAnsiTheme="minorEastAsia" w:eastAsiaTheme="minorEastAsia"/>
          <w:sz w:val="30"/>
          <w:highlight w:val="none"/>
        </w:rPr>
      </w:pPr>
    </w:p>
    <w:p>
      <w:pPr>
        <w:spacing w:line="860" w:lineRule="exact"/>
        <w:jc w:val="center"/>
        <w:rPr>
          <w:rFonts w:asciiTheme="minorEastAsia" w:hAnsiTheme="minorEastAsia" w:eastAsiaTheme="minorEastAsia"/>
          <w:sz w:val="30"/>
          <w:highlight w:val="none"/>
        </w:rPr>
      </w:pPr>
    </w:p>
    <w:p>
      <w:pPr>
        <w:spacing w:line="860" w:lineRule="exact"/>
        <w:jc w:val="center"/>
        <w:rPr>
          <w:rFonts w:hint="eastAsia" w:ascii="仿宋_GB2312" w:hAnsi="仿宋_GB2312" w:eastAsia="仿宋_GB2312" w:cs="仿宋_GB2312"/>
          <w:sz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highlight w:val="none"/>
        </w:rPr>
        <w:t>韶关市</w:t>
      </w:r>
      <w:r>
        <w:rPr>
          <w:rFonts w:hint="eastAsia" w:ascii="仿宋_GB2312" w:hAnsi="仿宋_GB2312" w:eastAsia="仿宋_GB2312" w:cs="仿宋_GB2312"/>
          <w:sz w:val="30"/>
          <w:highlight w:val="none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0"/>
          <w:highlight w:val="none"/>
        </w:rPr>
        <w:t>环境局曲江分局</w:t>
      </w:r>
    </w:p>
    <w:p>
      <w:pPr>
        <w:spacing w:line="860" w:lineRule="exact"/>
        <w:jc w:val="center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0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highlight w:val="none"/>
        </w:rPr>
        <w:t>月</w:t>
      </w:r>
    </w:p>
    <w:sectPr>
      <w:footerReference r:id="rId4" w:type="default"/>
      <w:pgSz w:w="11907" w:h="16840"/>
      <w:pgMar w:top="1134" w:right="1418" w:bottom="1134" w:left="1418" w:header="851" w:footer="992" w:gutter="0"/>
      <w:pgNumType w:start="1"/>
      <w:cols w:space="720" w:num="1"/>
      <w:docGrid w:type="linesAndChars" w:linePitch="592" w:charSpace="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>
    <w:pPr>
      <w:pStyle w:val="4"/>
      <w:tabs>
        <w:tab w:val="left" w:pos="4675"/>
        <w:tab w:val="clear" w:pos="83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675"/>
        <w:tab w:val="clear" w:pos="8306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86EB"/>
    <w:multiLevelType w:val="singleLevel"/>
    <w:tmpl w:val="380286EB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5D702F"/>
    <w:multiLevelType w:val="singleLevel"/>
    <w:tmpl w:val="735D702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5"/>
  <w:drawingGridHorizontalSpacing w:val="283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6A"/>
    <w:rsid w:val="00010DB7"/>
    <w:rsid w:val="00012F0E"/>
    <w:rsid w:val="000173B8"/>
    <w:rsid w:val="00017730"/>
    <w:rsid w:val="00017D5F"/>
    <w:rsid w:val="00020F4C"/>
    <w:rsid w:val="000241B1"/>
    <w:rsid w:val="00024567"/>
    <w:rsid w:val="00031A58"/>
    <w:rsid w:val="00032466"/>
    <w:rsid w:val="00033914"/>
    <w:rsid w:val="00034F0E"/>
    <w:rsid w:val="0004362D"/>
    <w:rsid w:val="00047056"/>
    <w:rsid w:val="00055C8E"/>
    <w:rsid w:val="000565A3"/>
    <w:rsid w:val="000601E8"/>
    <w:rsid w:val="00063904"/>
    <w:rsid w:val="000651E7"/>
    <w:rsid w:val="00066190"/>
    <w:rsid w:val="00066E49"/>
    <w:rsid w:val="00067660"/>
    <w:rsid w:val="0007199B"/>
    <w:rsid w:val="000824B2"/>
    <w:rsid w:val="000847E8"/>
    <w:rsid w:val="00084B96"/>
    <w:rsid w:val="00085DFB"/>
    <w:rsid w:val="00090F2D"/>
    <w:rsid w:val="00090F4E"/>
    <w:rsid w:val="0009747A"/>
    <w:rsid w:val="000A1AE0"/>
    <w:rsid w:val="000A27C6"/>
    <w:rsid w:val="000A4378"/>
    <w:rsid w:val="000A46D4"/>
    <w:rsid w:val="000A4739"/>
    <w:rsid w:val="000A4A2D"/>
    <w:rsid w:val="000A648D"/>
    <w:rsid w:val="000A67CB"/>
    <w:rsid w:val="000A7DE4"/>
    <w:rsid w:val="000B4188"/>
    <w:rsid w:val="000B5D14"/>
    <w:rsid w:val="000B6F3C"/>
    <w:rsid w:val="000C1C6E"/>
    <w:rsid w:val="000C2715"/>
    <w:rsid w:val="000C282D"/>
    <w:rsid w:val="000C5E4C"/>
    <w:rsid w:val="000C651A"/>
    <w:rsid w:val="000D01AC"/>
    <w:rsid w:val="000D291F"/>
    <w:rsid w:val="000D4D95"/>
    <w:rsid w:val="000D6044"/>
    <w:rsid w:val="000D7CEC"/>
    <w:rsid w:val="000E3802"/>
    <w:rsid w:val="000E4602"/>
    <w:rsid w:val="000E6EE5"/>
    <w:rsid w:val="000F2AAD"/>
    <w:rsid w:val="000F4072"/>
    <w:rsid w:val="000F641B"/>
    <w:rsid w:val="00101F43"/>
    <w:rsid w:val="00110CE6"/>
    <w:rsid w:val="00111D30"/>
    <w:rsid w:val="00112658"/>
    <w:rsid w:val="00113EAE"/>
    <w:rsid w:val="001175F6"/>
    <w:rsid w:val="00122A02"/>
    <w:rsid w:val="00123677"/>
    <w:rsid w:val="00124461"/>
    <w:rsid w:val="0012719D"/>
    <w:rsid w:val="001277A3"/>
    <w:rsid w:val="00134794"/>
    <w:rsid w:val="001360F1"/>
    <w:rsid w:val="00136FAC"/>
    <w:rsid w:val="00144EB9"/>
    <w:rsid w:val="001503F1"/>
    <w:rsid w:val="00154CC4"/>
    <w:rsid w:val="00156986"/>
    <w:rsid w:val="00160F39"/>
    <w:rsid w:val="001613EA"/>
    <w:rsid w:val="00161A9B"/>
    <w:rsid w:val="00164914"/>
    <w:rsid w:val="00165921"/>
    <w:rsid w:val="001718EE"/>
    <w:rsid w:val="0017339F"/>
    <w:rsid w:val="001742F2"/>
    <w:rsid w:val="00174505"/>
    <w:rsid w:val="0018457E"/>
    <w:rsid w:val="001871F3"/>
    <w:rsid w:val="00190B2A"/>
    <w:rsid w:val="001911DC"/>
    <w:rsid w:val="001926CD"/>
    <w:rsid w:val="001A2153"/>
    <w:rsid w:val="001A4DA1"/>
    <w:rsid w:val="001A6228"/>
    <w:rsid w:val="001B390A"/>
    <w:rsid w:val="001B504E"/>
    <w:rsid w:val="001B61B6"/>
    <w:rsid w:val="001C1C39"/>
    <w:rsid w:val="001C4FC1"/>
    <w:rsid w:val="001D11B7"/>
    <w:rsid w:val="001D3BF3"/>
    <w:rsid w:val="001D5CDA"/>
    <w:rsid w:val="001D6F83"/>
    <w:rsid w:val="001D7230"/>
    <w:rsid w:val="001D7F6C"/>
    <w:rsid w:val="001E07DD"/>
    <w:rsid w:val="001E3998"/>
    <w:rsid w:val="001E4E2E"/>
    <w:rsid w:val="001E71C5"/>
    <w:rsid w:val="001F285E"/>
    <w:rsid w:val="001F4984"/>
    <w:rsid w:val="00200F2E"/>
    <w:rsid w:val="00202123"/>
    <w:rsid w:val="0020361C"/>
    <w:rsid w:val="00203C37"/>
    <w:rsid w:val="002057EE"/>
    <w:rsid w:val="00205CF5"/>
    <w:rsid w:val="00207043"/>
    <w:rsid w:val="0021177B"/>
    <w:rsid w:val="0021257B"/>
    <w:rsid w:val="00216383"/>
    <w:rsid w:val="00220C17"/>
    <w:rsid w:val="00225D1D"/>
    <w:rsid w:val="0022627F"/>
    <w:rsid w:val="00230C11"/>
    <w:rsid w:val="00231EB0"/>
    <w:rsid w:val="002351DC"/>
    <w:rsid w:val="002368BA"/>
    <w:rsid w:val="00236FB1"/>
    <w:rsid w:val="00240E33"/>
    <w:rsid w:val="002440ED"/>
    <w:rsid w:val="00245776"/>
    <w:rsid w:val="00257DD4"/>
    <w:rsid w:val="00260E9C"/>
    <w:rsid w:val="00262194"/>
    <w:rsid w:val="002652BD"/>
    <w:rsid w:val="002672F9"/>
    <w:rsid w:val="00267831"/>
    <w:rsid w:val="00274B1B"/>
    <w:rsid w:val="00276DEC"/>
    <w:rsid w:val="00277869"/>
    <w:rsid w:val="00277E22"/>
    <w:rsid w:val="0028632A"/>
    <w:rsid w:val="00297353"/>
    <w:rsid w:val="002A5579"/>
    <w:rsid w:val="002B0F18"/>
    <w:rsid w:val="002B6BA6"/>
    <w:rsid w:val="002C2C4B"/>
    <w:rsid w:val="002C3CBA"/>
    <w:rsid w:val="002D287E"/>
    <w:rsid w:val="002D5DAF"/>
    <w:rsid w:val="002D5FA9"/>
    <w:rsid w:val="002D79E7"/>
    <w:rsid w:val="002E6C1D"/>
    <w:rsid w:val="002E76E3"/>
    <w:rsid w:val="002F0401"/>
    <w:rsid w:val="002F4D41"/>
    <w:rsid w:val="002F516C"/>
    <w:rsid w:val="00302340"/>
    <w:rsid w:val="00303808"/>
    <w:rsid w:val="00305679"/>
    <w:rsid w:val="0030579E"/>
    <w:rsid w:val="003126B9"/>
    <w:rsid w:val="003142BF"/>
    <w:rsid w:val="003145EB"/>
    <w:rsid w:val="00314C62"/>
    <w:rsid w:val="003178DA"/>
    <w:rsid w:val="003217F1"/>
    <w:rsid w:val="00326995"/>
    <w:rsid w:val="00327F70"/>
    <w:rsid w:val="00334996"/>
    <w:rsid w:val="00334A56"/>
    <w:rsid w:val="003402A8"/>
    <w:rsid w:val="0035036F"/>
    <w:rsid w:val="00354097"/>
    <w:rsid w:val="00355B2E"/>
    <w:rsid w:val="00356F7A"/>
    <w:rsid w:val="00357832"/>
    <w:rsid w:val="00360361"/>
    <w:rsid w:val="003605C1"/>
    <w:rsid w:val="00360FE8"/>
    <w:rsid w:val="003625A2"/>
    <w:rsid w:val="00362927"/>
    <w:rsid w:val="003679C5"/>
    <w:rsid w:val="003724F0"/>
    <w:rsid w:val="00372C25"/>
    <w:rsid w:val="003738F0"/>
    <w:rsid w:val="00373F14"/>
    <w:rsid w:val="00374421"/>
    <w:rsid w:val="00375A34"/>
    <w:rsid w:val="00380C7D"/>
    <w:rsid w:val="003826A7"/>
    <w:rsid w:val="003839ED"/>
    <w:rsid w:val="00386FFA"/>
    <w:rsid w:val="00387882"/>
    <w:rsid w:val="00387D82"/>
    <w:rsid w:val="00390BE2"/>
    <w:rsid w:val="00391B12"/>
    <w:rsid w:val="003950C6"/>
    <w:rsid w:val="00396193"/>
    <w:rsid w:val="00396C26"/>
    <w:rsid w:val="00396CFE"/>
    <w:rsid w:val="003A0D1C"/>
    <w:rsid w:val="003A392A"/>
    <w:rsid w:val="003A7BA0"/>
    <w:rsid w:val="003B056D"/>
    <w:rsid w:val="003B3157"/>
    <w:rsid w:val="003B4D8D"/>
    <w:rsid w:val="003B5061"/>
    <w:rsid w:val="003B69B0"/>
    <w:rsid w:val="003C03D0"/>
    <w:rsid w:val="003D1CC6"/>
    <w:rsid w:val="003D2CC3"/>
    <w:rsid w:val="003D32AE"/>
    <w:rsid w:val="003D4743"/>
    <w:rsid w:val="003D535F"/>
    <w:rsid w:val="003E06FD"/>
    <w:rsid w:val="003E0B2C"/>
    <w:rsid w:val="003E1B2B"/>
    <w:rsid w:val="003E39D7"/>
    <w:rsid w:val="003F1A5F"/>
    <w:rsid w:val="003F203E"/>
    <w:rsid w:val="003F35EC"/>
    <w:rsid w:val="003F43E3"/>
    <w:rsid w:val="00400603"/>
    <w:rsid w:val="00410D82"/>
    <w:rsid w:val="00411747"/>
    <w:rsid w:val="00413437"/>
    <w:rsid w:val="00416763"/>
    <w:rsid w:val="00416B68"/>
    <w:rsid w:val="00420A3D"/>
    <w:rsid w:val="0042474C"/>
    <w:rsid w:val="00434AE1"/>
    <w:rsid w:val="00435EF5"/>
    <w:rsid w:val="0043661F"/>
    <w:rsid w:val="004400E2"/>
    <w:rsid w:val="0044177B"/>
    <w:rsid w:val="00441913"/>
    <w:rsid w:val="00443B24"/>
    <w:rsid w:val="00450F1F"/>
    <w:rsid w:val="004545D8"/>
    <w:rsid w:val="00456DD0"/>
    <w:rsid w:val="00465ABD"/>
    <w:rsid w:val="00466ECA"/>
    <w:rsid w:val="00467CE2"/>
    <w:rsid w:val="00474CA3"/>
    <w:rsid w:val="00474EA4"/>
    <w:rsid w:val="00477279"/>
    <w:rsid w:val="00486D35"/>
    <w:rsid w:val="00490645"/>
    <w:rsid w:val="00491CDC"/>
    <w:rsid w:val="00496E1F"/>
    <w:rsid w:val="00497770"/>
    <w:rsid w:val="004A2DF8"/>
    <w:rsid w:val="004A49FD"/>
    <w:rsid w:val="004A609D"/>
    <w:rsid w:val="004A713F"/>
    <w:rsid w:val="004A72F8"/>
    <w:rsid w:val="004A7539"/>
    <w:rsid w:val="004B1757"/>
    <w:rsid w:val="004B2E7D"/>
    <w:rsid w:val="004B3221"/>
    <w:rsid w:val="004B3682"/>
    <w:rsid w:val="004B5AEC"/>
    <w:rsid w:val="004C406D"/>
    <w:rsid w:val="004C40ED"/>
    <w:rsid w:val="004C461A"/>
    <w:rsid w:val="004C535B"/>
    <w:rsid w:val="004C76B0"/>
    <w:rsid w:val="004C7F0F"/>
    <w:rsid w:val="004D1B89"/>
    <w:rsid w:val="004D2631"/>
    <w:rsid w:val="004D5F17"/>
    <w:rsid w:val="004E6749"/>
    <w:rsid w:val="004E6C0F"/>
    <w:rsid w:val="004F21DB"/>
    <w:rsid w:val="004F4C70"/>
    <w:rsid w:val="004F4F06"/>
    <w:rsid w:val="004F55DD"/>
    <w:rsid w:val="004F66C8"/>
    <w:rsid w:val="00503C10"/>
    <w:rsid w:val="00503C1E"/>
    <w:rsid w:val="0050720B"/>
    <w:rsid w:val="00507F11"/>
    <w:rsid w:val="00513D88"/>
    <w:rsid w:val="0051727A"/>
    <w:rsid w:val="005207DF"/>
    <w:rsid w:val="00520EB2"/>
    <w:rsid w:val="00527C36"/>
    <w:rsid w:val="0053467C"/>
    <w:rsid w:val="0053691E"/>
    <w:rsid w:val="005410D4"/>
    <w:rsid w:val="005423E3"/>
    <w:rsid w:val="0054459E"/>
    <w:rsid w:val="00547416"/>
    <w:rsid w:val="00547A6E"/>
    <w:rsid w:val="00550D98"/>
    <w:rsid w:val="00551CBB"/>
    <w:rsid w:val="0055227D"/>
    <w:rsid w:val="005530AB"/>
    <w:rsid w:val="00555317"/>
    <w:rsid w:val="005625B4"/>
    <w:rsid w:val="00562C8D"/>
    <w:rsid w:val="00564585"/>
    <w:rsid w:val="00564F41"/>
    <w:rsid w:val="005663AD"/>
    <w:rsid w:val="00570FB9"/>
    <w:rsid w:val="005723F2"/>
    <w:rsid w:val="0057272E"/>
    <w:rsid w:val="00572860"/>
    <w:rsid w:val="00576AC0"/>
    <w:rsid w:val="00577CA6"/>
    <w:rsid w:val="00583201"/>
    <w:rsid w:val="005870EF"/>
    <w:rsid w:val="005A3294"/>
    <w:rsid w:val="005A4475"/>
    <w:rsid w:val="005B4900"/>
    <w:rsid w:val="005B7521"/>
    <w:rsid w:val="005C01E3"/>
    <w:rsid w:val="005C26FE"/>
    <w:rsid w:val="005C45AD"/>
    <w:rsid w:val="005C57CF"/>
    <w:rsid w:val="005C5907"/>
    <w:rsid w:val="005C5BFA"/>
    <w:rsid w:val="005C6FB1"/>
    <w:rsid w:val="005D3D23"/>
    <w:rsid w:val="005D41B0"/>
    <w:rsid w:val="005D51A1"/>
    <w:rsid w:val="005D6CD8"/>
    <w:rsid w:val="005D7875"/>
    <w:rsid w:val="005E3D51"/>
    <w:rsid w:val="005E52EC"/>
    <w:rsid w:val="005F2DD3"/>
    <w:rsid w:val="005F47EB"/>
    <w:rsid w:val="005F6BFE"/>
    <w:rsid w:val="005F738D"/>
    <w:rsid w:val="00601F8F"/>
    <w:rsid w:val="00602197"/>
    <w:rsid w:val="00605FA0"/>
    <w:rsid w:val="006068D7"/>
    <w:rsid w:val="00607365"/>
    <w:rsid w:val="006100B4"/>
    <w:rsid w:val="006118FB"/>
    <w:rsid w:val="00613E0C"/>
    <w:rsid w:val="00615074"/>
    <w:rsid w:val="006204BA"/>
    <w:rsid w:val="00621716"/>
    <w:rsid w:val="0063458C"/>
    <w:rsid w:val="00634828"/>
    <w:rsid w:val="00635F61"/>
    <w:rsid w:val="00636134"/>
    <w:rsid w:val="006373C2"/>
    <w:rsid w:val="00641270"/>
    <w:rsid w:val="00647CC0"/>
    <w:rsid w:val="00660AE6"/>
    <w:rsid w:val="00665ABD"/>
    <w:rsid w:val="00666686"/>
    <w:rsid w:val="006675E1"/>
    <w:rsid w:val="00670D69"/>
    <w:rsid w:val="00671353"/>
    <w:rsid w:val="00672A2C"/>
    <w:rsid w:val="00677E26"/>
    <w:rsid w:val="0068664D"/>
    <w:rsid w:val="006873FB"/>
    <w:rsid w:val="00691107"/>
    <w:rsid w:val="006931E0"/>
    <w:rsid w:val="00694E32"/>
    <w:rsid w:val="006958E5"/>
    <w:rsid w:val="00696734"/>
    <w:rsid w:val="006B1F26"/>
    <w:rsid w:val="006B73D6"/>
    <w:rsid w:val="006C136F"/>
    <w:rsid w:val="006C13D6"/>
    <w:rsid w:val="006C14A8"/>
    <w:rsid w:val="006D0318"/>
    <w:rsid w:val="006D073E"/>
    <w:rsid w:val="006D2332"/>
    <w:rsid w:val="006E0C67"/>
    <w:rsid w:val="006E2A8E"/>
    <w:rsid w:val="006E4257"/>
    <w:rsid w:val="006E436F"/>
    <w:rsid w:val="006E6963"/>
    <w:rsid w:val="006F54B4"/>
    <w:rsid w:val="00703178"/>
    <w:rsid w:val="00703406"/>
    <w:rsid w:val="007177E6"/>
    <w:rsid w:val="00717E47"/>
    <w:rsid w:val="00722715"/>
    <w:rsid w:val="00731697"/>
    <w:rsid w:val="0073421D"/>
    <w:rsid w:val="007352CC"/>
    <w:rsid w:val="00736359"/>
    <w:rsid w:val="00736546"/>
    <w:rsid w:val="0074647F"/>
    <w:rsid w:val="00746E6C"/>
    <w:rsid w:val="00746F2B"/>
    <w:rsid w:val="00751D48"/>
    <w:rsid w:val="007610A7"/>
    <w:rsid w:val="00761EDA"/>
    <w:rsid w:val="00766B0E"/>
    <w:rsid w:val="00766C49"/>
    <w:rsid w:val="00782CD5"/>
    <w:rsid w:val="00787735"/>
    <w:rsid w:val="00793A5A"/>
    <w:rsid w:val="007956A7"/>
    <w:rsid w:val="00796E93"/>
    <w:rsid w:val="00797395"/>
    <w:rsid w:val="007A4858"/>
    <w:rsid w:val="007B2896"/>
    <w:rsid w:val="007B5090"/>
    <w:rsid w:val="007B5ED4"/>
    <w:rsid w:val="007C1C8C"/>
    <w:rsid w:val="007C3EFE"/>
    <w:rsid w:val="007C6775"/>
    <w:rsid w:val="007C7568"/>
    <w:rsid w:val="007C7AD2"/>
    <w:rsid w:val="007C7E5D"/>
    <w:rsid w:val="007D17FF"/>
    <w:rsid w:val="007D1A9B"/>
    <w:rsid w:val="007D2313"/>
    <w:rsid w:val="007D356A"/>
    <w:rsid w:val="007D4AC9"/>
    <w:rsid w:val="007D5347"/>
    <w:rsid w:val="007D6114"/>
    <w:rsid w:val="007E4A44"/>
    <w:rsid w:val="007E592E"/>
    <w:rsid w:val="007E769F"/>
    <w:rsid w:val="007F0255"/>
    <w:rsid w:val="007F3976"/>
    <w:rsid w:val="007F57CE"/>
    <w:rsid w:val="00803200"/>
    <w:rsid w:val="00803CD5"/>
    <w:rsid w:val="0080751A"/>
    <w:rsid w:val="00810193"/>
    <w:rsid w:val="00814047"/>
    <w:rsid w:val="00814427"/>
    <w:rsid w:val="0081659C"/>
    <w:rsid w:val="00816CC8"/>
    <w:rsid w:val="00820D62"/>
    <w:rsid w:val="008215C0"/>
    <w:rsid w:val="008237F7"/>
    <w:rsid w:val="00823AAF"/>
    <w:rsid w:val="00830162"/>
    <w:rsid w:val="00830EB0"/>
    <w:rsid w:val="00832861"/>
    <w:rsid w:val="00834BE1"/>
    <w:rsid w:val="00836DAF"/>
    <w:rsid w:val="008400F9"/>
    <w:rsid w:val="00842F4C"/>
    <w:rsid w:val="00847B81"/>
    <w:rsid w:val="008532A7"/>
    <w:rsid w:val="008639BA"/>
    <w:rsid w:val="008679D9"/>
    <w:rsid w:val="00874A98"/>
    <w:rsid w:val="008769C8"/>
    <w:rsid w:val="00877E3D"/>
    <w:rsid w:val="0088092A"/>
    <w:rsid w:val="00883C7A"/>
    <w:rsid w:val="00885DB0"/>
    <w:rsid w:val="008923D3"/>
    <w:rsid w:val="0089291D"/>
    <w:rsid w:val="008A119C"/>
    <w:rsid w:val="008A4F8A"/>
    <w:rsid w:val="008A6E17"/>
    <w:rsid w:val="008B09B0"/>
    <w:rsid w:val="008B54A7"/>
    <w:rsid w:val="008B562E"/>
    <w:rsid w:val="008B6746"/>
    <w:rsid w:val="008C0804"/>
    <w:rsid w:val="008C0D5A"/>
    <w:rsid w:val="008C25C0"/>
    <w:rsid w:val="008C5856"/>
    <w:rsid w:val="008E1CCD"/>
    <w:rsid w:val="008E5BA4"/>
    <w:rsid w:val="008F441E"/>
    <w:rsid w:val="008F6AEB"/>
    <w:rsid w:val="009001B1"/>
    <w:rsid w:val="009011D3"/>
    <w:rsid w:val="00903C4A"/>
    <w:rsid w:val="0090430C"/>
    <w:rsid w:val="00906BA1"/>
    <w:rsid w:val="009076D6"/>
    <w:rsid w:val="009144D9"/>
    <w:rsid w:val="0091694D"/>
    <w:rsid w:val="00920B6F"/>
    <w:rsid w:val="0092356A"/>
    <w:rsid w:val="009311A6"/>
    <w:rsid w:val="009344CB"/>
    <w:rsid w:val="00936E32"/>
    <w:rsid w:val="0093704C"/>
    <w:rsid w:val="00937CBA"/>
    <w:rsid w:val="00945909"/>
    <w:rsid w:val="00977F6A"/>
    <w:rsid w:val="009814D0"/>
    <w:rsid w:val="0098381C"/>
    <w:rsid w:val="00984199"/>
    <w:rsid w:val="009847F7"/>
    <w:rsid w:val="00984CED"/>
    <w:rsid w:val="009966CC"/>
    <w:rsid w:val="009A4077"/>
    <w:rsid w:val="009A4414"/>
    <w:rsid w:val="009A484F"/>
    <w:rsid w:val="009A5661"/>
    <w:rsid w:val="009A7070"/>
    <w:rsid w:val="009B419E"/>
    <w:rsid w:val="009B4656"/>
    <w:rsid w:val="009B55F9"/>
    <w:rsid w:val="009C03E2"/>
    <w:rsid w:val="009C5EF9"/>
    <w:rsid w:val="009D012D"/>
    <w:rsid w:val="009D7647"/>
    <w:rsid w:val="009D7869"/>
    <w:rsid w:val="009E4A10"/>
    <w:rsid w:val="009E57CC"/>
    <w:rsid w:val="00A01491"/>
    <w:rsid w:val="00A01B1C"/>
    <w:rsid w:val="00A12328"/>
    <w:rsid w:val="00A12C63"/>
    <w:rsid w:val="00A149DB"/>
    <w:rsid w:val="00A16F8E"/>
    <w:rsid w:val="00A2381D"/>
    <w:rsid w:val="00A2527A"/>
    <w:rsid w:val="00A27CCC"/>
    <w:rsid w:val="00A3366E"/>
    <w:rsid w:val="00A4616B"/>
    <w:rsid w:val="00A509A5"/>
    <w:rsid w:val="00A5367F"/>
    <w:rsid w:val="00A54F20"/>
    <w:rsid w:val="00A550D5"/>
    <w:rsid w:val="00A5617C"/>
    <w:rsid w:val="00A563BF"/>
    <w:rsid w:val="00A61C73"/>
    <w:rsid w:val="00A646DC"/>
    <w:rsid w:val="00A65BE1"/>
    <w:rsid w:val="00A742D6"/>
    <w:rsid w:val="00A83F81"/>
    <w:rsid w:val="00A854BD"/>
    <w:rsid w:val="00A92CDC"/>
    <w:rsid w:val="00A92E3D"/>
    <w:rsid w:val="00A94A09"/>
    <w:rsid w:val="00A977D9"/>
    <w:rsid w:val="00AA18C3"/>
    <w:rsid w:val="00AA25AC"/>
    <w:rsid w:val="00AA5827"/>
    <w:rsid w:val="00AA584D"/>
    <w:rsid w:val="00AA619C"/>
    <w:rsid w:val="00AA62EF"/>
    <w:rsid w:val="00AA722B"/>
    <w:rsid w:val="00AB608D"/>
    <w:rsid w:val="00AB6BCF"/>
    <w:rsid w:val="00AB76F7"/>
    <w:rsid w:val="00AC0AFD"/>
    <w:rsid w:val="00AC209C"/>
    <w:rsid w:val="00AC4D0E"/>
    <w:rsid w:val="00AC6454"/>
    <w:rsid w:val="00AD3EF9"/>
    <w:rsid w:val="00AD6620"/>
    <w:rsid w:val="00AE299C"/>
    <w:rsid w:val="00AE6CE8"/>
    <w:rsid w:val="00AF2871"/>
    <w:rsid w:val="00AF5203"/>
    <w:rsid w:val="00AF6B9F"/>
    <w:rsid w:val="00B047B2"/>
    <w:rsid w:val="00B049D4"/>
    <w:rsid w:val="00B10E61"/>
    <w:rsid w:val="00B118D7"/>
    <w:rsid w:val="00B15481"/>
    <w:rsid w:val="00B1567F"/>
    <w:rsid w:val="00B157F4"/>
    <w:rsid w:val="00B26571"/>
    <w:rsid w:val="00B2662A"/>
    <w:rsid w:val="00B3623C"/>
    <w:rsid w:val="00B36BD2"/>
    <w:rsid w:val="00B428E0"/>
    <w:rsid w:val="00B43157"/>
    <w:rsid w:val="00B438B3"/>
    <w:rsid w:val="00B439D1"/>
    <w:rsid w:val="00B50A81"/>
    <w:rsid w:val="00B53F81"/>
    <w:rsid w:val="00B542A9"/>
    <w:rsid w:val="00B545A0"/>
    <w:rsid w:val="00B64DA4"/>
    <w:rsid w:val="00B70C58"/>
    <w:rsid w:val="00B7175D"/>
    <w:rsid w:val="00B74B15"/>
    <w:rsid w:val="00B826D5"/>
    <w:rsid w:val="00B917A9"/>
    <w:rsid w:val="00B979C3"/>
    <w:rsid w:val="00BA0ACC"/>
    <w:rsid w:val="00BA14A6"/>
    <w:rsid w:val="00BA7BAC"/>
    <w:rsid w:val="00BB2531"/>
    <w:rsid w:val="00BC222D"/>
    <w:rsid w:val="00BC278B"/>
    <w:rsid w:val="00BC4C55"/>
    <w:rsid w:val="00BC7A96"/>
    <w:rsid w:val="00BD084F"/>
    <w:rsid w:val="00BD100C"/>
    <w:rsid w:val="00BD20B3"/>
    <w:rsid w:val="00BE05A7"/>
    <w:rsid w:val="00BE276B"/>
    <w:rsid w:val="00BE5E06"/>
    <w:rsid w:val="00BF308C"/>
    <w:rsid w:val="00BF330A"/>
    <w:rsid w:val="00BF70D7"/>
    <w:rsid w:val="00BF7147"/>
    <w:rsid w:val="00C02304"/>
    <w:rsid w:val="00C068AB"/>
    <w:rsid w:val="00C07B99"/>
    <w:rsid w:val="00C124D5"/>
    <w:rsid w:val="00C1298B"/>
    <w:rsid w:val="00C1301F"/>
    <w:rsid w:val="00C176C5"/>
    <w:rsid w:val="00C24381"/>
    <w:rsid w:val="00C25791"/>
    <w:rsid w:val="00C30452"/>
    <w:rsid w:val="00C328AB"/>
    <w:rsid w:val="00C433DC"/>
    <w:rsid w:val="00C45C2F"/>
    <w:rsid w:val="00C470AB"/>
    <w:rsid w:val="00C52807"/>
    <w:rsid w:val="00C54C01"/>
    <w:rsid w:val="00C55E12"/>
    <w:rsid w:val="00C60E71"/>
    <w:rsid w:val="00C64E3E"/>
    <w:rsid w:val="00C65E73"/>
    <w:rsid w:val="00C7008A"/>
    <w:rsid w:val="00C77BB0"/>
    <w:rsid w:val="00C846EE"/>
    <w:rsid w:val="00C86B5F"/>
    <w:rsid w:val="00C86D86"/>
    <w:rsid w:val="00C92EC6"/>
    <w:rsid w:val="00C93CC1"/>
    <w:rsid w:val="00CA134B"/>
    <w:rsid w:val="00CB7886"/>
    <w:rsid w:val="00CC5061"/>
    <w:rsid w:val="00CC6165"/>
    <w:rsid w:val="00CD40D1"/>
    <w:rsid w:val="00CD4F3C"/>
    <w:rsid w:val="00CE2C0F"/>
    <w:rsid w:val="00CE38B4"/>
    <w:rsid w:val="00CF1729"/>
    <w:rsid w:val="00CF314C"/>
    <w:rsid w:val="00CF5BE0"/>
    <w:rsid w:val="00D01D97"/>
    <w:rsid w:val="00D031BE"/>
    <w:rsid w:val="00D04C96"/>
    <w:rsid w:val="00D072A6"/>
    <w:rsid w:val="00D11E7F"/>
    <w:rsid w:val="00D131F1"/>
    <w:rsid w:val="00D142B8"/>
    <w:rsid w:val="00D147B6"/>
    <w:rsid w:val="00D1756F"/>
    <w:rsid w:val="00D20FA3"/>
    <w:rsid w:val="00D41DDA"/>
    <w:rsid w:val="00D51A2F"/>
    <w:rsid w:val="00D51E23"/>
    <w:rsid w:val="00D54800"/>
    <w:rsid w:val="00D549B5"/>
    <w:rsid w:val="00D6006E"/>
    <w:rsid w:val="00D61807"/>
    <w:rsid w:val="00D631E7"/>
    <w:rsid w:val="00D659CC"/>
    <w:rsid w:val="00D662EA"/>
    <w:rsid w:val="00D66A78"/>
    <w:rsid w:val="00D67519"/>
    <w:rsid w:val="00D67A61"/>
    <w:rsid w:val="00D70847"/>
    <w:rsid w:val="00D8344A"/>
    <w:rsid w:val="00D857DF"/>
    <w:rsid w:val="00D9154D"/>
    <w:rsid w:val="00D92D74"/>
    <w:rsid w:val="00D93D44"/>
    <w:rsid w:val="00D95544"/>
    <w:rsid w:val="00D965BF"/>
    <w:rsid w:val="00DA5325"/>
    <w:rsid w:val="00DA538D"/>
    <w:rsid w:val="00DB336C"/>
    <w:rsid w:val="00DB3AAC"/>
    <w:rsid w:val="00DB3D50"/>
    <w:rsid w:val="00DC7AA0"/>
    <w:rsid w:val="00DC7DEC"/>
    <w:rsid w:val="00DC7E32"/>
    <w:rsid w:val="00DD3B99"/>
    <w:rsid w:val="00DD3DE2"/>
    <w:rsid w:val="00DD6319"/>
    <w:rsid w:val="00DD6436"/>
    <w:rsid w:val="00DD7F22"/>
    <w:rsid w:val="00DE7C63"/>
    <w:rsid w:val="00DF0992"/>
    <w:rsid w:val="00DF146D"/>
    <w:rsid w:val="00DF17D6"/>
    <w:rsid w:val="00DF216A"/>
    <w:rsid w:val="00DF4C02"/>
    <w:rsid w:val="00DF72D2"/>
    <w:rsid w:val="00E02D09"/>
    <w:rsid w:val="00E105BE"/>
    <w:rsid w:val="00E10A77"/>
    <w:rsid w:val="00E114FD"/>
    <w:rsid w:val="00E208C0"/>
    <w:rsid w:val="00E239E6"/>
    <w:rsid w:val="00E26C81"/>
    <w:rsid w:val="00E27A61"/>
    <w:rsid w:val="00E32FA5"/>
    <w:rsid w:val="00E35230"/>
    <w:rsid w:val="00E42C93"/>
    <w:rsid w:val="00E46350"/>
    <w:rsid w:val="00E60317"/>
    <w:rsid w:val="00E61FD9"/>
    <w:rsid w:val="00E622B5"/>
    <w:rsid w:val="00E63657"/>
    <w:rsid w:val="00E64F0D"/>
    <w:rsid w:val="00E66779"/>
    <w:rsid w:val="00E77614"/>
    <w:rsid w:val="00E829FC"/>
    <w:rsid w:val="00E82CF1"/>
    <w:rsid w:val="00E8619C"/>
    <w:rsid w:val="00E869E3"/>
    <w:rsid w:val="00E91EAE"/>
    <w:rsid w:val="00E926AC"/>
    <w:rsid w:val="00E926AD"/>
    <w:rsid w:val="00E9272A"/>
    <w:rsid w:val="00E94656"/>
    <w:rsid w:val="00EA747C"/>
    <w:rsid w:val="00EB1E3D"/>
    <w:rsid w:val="00EB5D64"/>
    <w:rsid w:val="00EC68D6"/>
    <w:rsid w:val="00ED3DE7"/>
    <w:rsid w:val="00ED52B4"/>
    <w:rsid w:val="00ED5418"/>
    <w:rsid w:val="00ED5708"/>
    <w:rsid w:val="00ED64DF"/>
    <w:rsid w:val="00EE0D78"/>
    <w:rsid w:val="00EE0D8D"/>
    <w:rsid w:val="00EE3563"/>
    <w:rsid w:val="00EE479F"/>
    <w:rsid w:val="00EE5C29"/>
    <w:rsid w:val="00EF2A07"/>
    <w:rsid w:val="00F138C2"/>
    <w:rsid w:val="00F170EB"/>
    <w:rsid w:val="00F22BE9"/>
    <w:rsid w:val="00F23182"/>
    <w:rsid w:val="00F231AF"/>
    <w:rsid w:val="00F2686F"/>
    <w:rsid w:val="00F318BE"/>
    <w:rsid w:val="00F32893"/>
    <w:rsid w:val="00F371E2"/>
    <w:rsid w:val="00F41D1F"/>
    <w:rsid w:val="00F425EC"/>
    <w:rsid w:val="00F45D00"/>
    <w:rsid w:val="00F4775A"/>
    <w:rsid w:val="00F52775"/>
    <w:rsid w:val="00F60B3B"/>
    <w:rsid w:val="00F626F3"/>
    <w:rsid w:val="00F663AD"/>
    <w:rsid w:val="00F664CF"/>
    <w:rsid w:val="00F750ED"/>
    <w:rsid w:val="00F76276"/>
    <w:rsid w:val="00F80FE8"/>
    <w:rsid w:val="00F8137C"/>
    <w:rsid w:val="00F87762"/>
    <w:rsid w:val="00F878EF"/>
    <w:rsid w:val="00F87E19"/>
    <w:rsid w:val="00F91A28"/>
    <w:rsid w:val="00F91AEA"/>
    <w:rsid w:val="00F91E48"/>
    <w:rsid w:val="00FA372D"/>
    <w:rsid w:val="00FA567A"/>
    <w:rsid w:val="00FA7203"/>
    <w:rsid w:val="00FB3651"/>
    <w:rsid w:val="00FB5311"/>
    <w:rsid w:val="00FB7152"/>
    <w:rsid w:val="00FC125D"/>
    <w:rsid w:val="00FC18A3"/>
    <w:rsid w:val="00FD0B41"/>
    <w:rsid w:val="00FD0E59"/>
    <w:rsid w:val="00FD0EA8"/>
    <w:rsid w:val="00FD40CD"/>
    <w:rsid w:val="00FD6E83"/>
    <w:rsid w:val="00FD74F5"/>
    <w:rsid w:val="00FE1AC9"/>
    <w:rsid w:val="00FE30A7"/>
    <w:rsid w:val="00FE5A49"/>
    <w:rsid w:val="00FE678F"/>
    <w:rsid w:val="00FE754F"/>
    <w:rsid w:val="00FF4168"/>
    <w:rsid w:val="00FF612F"/>
    <w:rsid w:val="00FF7238"/>
    <w:rsid w:val="00FF752E"/>
    <w:rsid w:val="02B045B3"/>
    <w:rsid w:val="0446671C"/>
    <w:rsid w:val="052765A5"/>
    <w:rsid w:val="05A8691F"/>
    <w:rsid w:val="062623E1"/>
    <w:rsid w:val="07084233"/>
    <w:rsid w:val="07DF7731"/>
    <w:rsid w:val="0A7A27CA"/>
    <w:rsid w:val="0B8715B7"/>
    <w:rsid w:val="0CB5391E"/>
    <w:rsid w:val="0D5E3EDE"/>
    <w:rsid w:val="0DA45FC7"/>
    <w:rsid w:val="0EBA0F8B"/>
    <w:rsid w:val="0FA249D7"/>
    <w:rsid w:val="0FD87537"/>
    <w:rsid w:val="102F77EB"/>
    <w:rsid w:val="109B3259"/>
    <w:rsid w:val="11666A14"/>
    <w:rsid w:val="13D368A4"/>
    <w:rsid w:val="13DD275A"/>
    <w:rsid w:val="14390DDD"/>
    <w:rsid w:val="150438DB"/>
    <w:rsid w:val="15105882"/>
    <w:rsid w:val="15B84F5C"/>
    <w:rsid w:val="15FC1206"/>
    <w:rsid w:val="184015D9"/>
    <w:rsid w:val="19AB109A"/>
    <w:rsid w:val="1A114039"/>
    <w:rsid w:val="1A371CA4"/>
    <w:rsid w:val="1BD36EA5"/>
    <w:rsid w:val="1C0F669B"/>
    <w:rsid w:val="1CAD18BE"/>
    <w:rsid w:val="1D5228BD"/>
    <w:rsid w:val="1DDF393F"/>
    <w:rsid w:val="1E9404A0"/>
    <w:rsid w:val="1EF24E3E"/>
    <w:rsid w:val="1F690993"/>
    <w:rsid w:val="1F7C367B"/>
    <w:rsid w:val="20213800"/>
    <w:rsid w:val="21E14131"/>
    <w:rsid w:val="22152C92"/>
    <w:rsid w:val="22F5537A"/>
    <w:rsid w:val="23441D18"/>
    <w:rsid w:val="23B84AC7"/>
    <w:rsid w:val="244E08AE"/>
    <w:rsid w:val="245B7C5D"/>
    <w:rsid w:val="2498060D"/>
    <w:rsid w:val="24B06595"/>
    <w:rsid w:val="2515283A"/>
    <w:rsid w:val="26CA2E9A"/>
    <w:rsid w:val="27610B7E"/>
    <w:rsid w:val="2842220C"/>
    <w:rsid w:val="286C2871"/>
    <w:rsid w:val="29712D46"/>
    <w:rsid w:val="2A292B60"/>
    <w:rsid w:val="2A6147FE"/>
    <w:rsid w:val="2B36640E"/>
    <w:rsid w:val="2C3E2ECB"/>
    <w:rsid w:val="2C914608"/>
    <w:rsid w:val="2D175037"/>
    <w:rsid w:val="2D4775C7"/>
    <w:rsid w:val="2EC15FFF"/>
    <w:rsid w:val="2F446920"/>
    <w:rsid w:val="315B5CF5"/>
    <w:rsid w:val="31F441F0"/>
    <w:rsid w:val="31F974F7"/>
    <w:rsid w:val="32E21BF0"/>
    <w:rsid w:val="357B78BD"/>
    <w:rsid w:val="35863BD0"/>
    <w:rsid w:val="359A45FB"/>
    <w:rsid w:val="36315A0B"/>
    <w:rsid w:val="37BA7201"/>
    <w:rsid w:val="382B71E5"/>
    <w:rsid w:val="38D26C5C"/>
    <w:rsid w:val="38D457FB"/>
    <w:rsid w:val="38E97C01"/>
    <w:rsid w:val="39444CA4"/>
    <w:rsid w:val="39BF7779"/>
    <w:rsid w:val="39C01D5C"/>
    <w:rsid w:val="3AE56A58"/>
    <w:rsid w:val="3B184351"/>
    <w:rsid w:val="3B227D42"/>
    <w:rsid w:val="3B613A11"/>
    <w:rsid w:val="3C003E4F"/>
    <w:rsid w:val="3CDA75E1"/>
    <w:rsid w:val="3D441917"/>
    <w:rsid w:val="3E536115"/>
    <w:rsid w:val="3F3C5657"/>
    <w:rsid w:val="3F5B679B"/>
    <w:rsid w:val="3FB97A15"/>
    <w:rsid w:val="3FF54347"/>
    <w:rsid w:val="402B41D4"/>
    <w:rsid w:val="407A612C"/>
    <w:rsid w:val="4081030F"/>
    <w:rsid w:val="40AD4977"/>
    <w:rsid w:val="40CC1DF9"/>
    <w:rsid w:val="416D351E"/>
    <w:rsid w:val="424169D4"/>
    <w:rsid w:val="43376628"/>
    <w:rsid w:val="433B7830"/>
    <w:rsid w:val="43E01595"/>
    <w:rsid w:val="453364FC"/>
    <w:rsid w:val="454941BA"/>
    <w:rsid w:val="461C3208"/>
    <w:rsid w:val="470E29DD"/>
    <w:rsid w:val="47153AEC"/>
    <w:rsid w:val="47AE4E38"/>
    <w:rsid w:val="47F66185"/>
    <w:rsid w:val="48992C3E"/>
    <w:rsid w:val="48DC7083"/>
    <w:rsid w:val="492607DB"/>
    <w:rsid w:val="498B21B0"/>
    <w:rsid w:val="4A086E7F"/>
    <w:rsid w:val="4A9D4314"/>
    <w:rsid w:val="4AB73F6F"/>
    <w:rsid w:val="4B7428F4"/>
    <w:rsid w:val="4BF93310"/>
    <w:rsid w:val="4C3E6AA5"/>
    <w:rsid w:val="4E412363"/>
    <w:rsid w:val="501D7E95"/>
    <w:rsid w:val="511D632F"/>
    <w:rsid w:val="51307A11"/>
    <w:rsid w:val="516E6A11"/>
    <w:rsid w:val="53B37F1F"/>
    <w:rsid w:val="549320C2"/>
    <w:rsid w:val="54F1340A"/>
    <w:rsid w:val="55B026D5"/>
    <w:rsid w:val="561E1083"/>
    <w:rsid w:val="563C306E"/>
    <w:rsid w:val="569F7C5C"/>
    <w:rsid w:val="56E831D3"/>
    <w:rsid w:val="57234623"/>
    <w:rsid w:val="57853BE1"/>
    <w:rsid w:val="57FE7945"/>
    <w:rsid w:val="5A0F1C9C"/>
    <w:rsid w:val="5A887B2E"/>
    <w:rsid w:val="5B393A86"/>
    <w:rsid w:val="5C107B5A"/>
    <w:rsid w:val="5D1C23E8"/>
    <w:rsid w:val="5D27278B"/>
    <w:rsid w:val="5D676EA1"/>
    <w:rsid w:val="5FBE563E"/>
    <w:rsid w:val="61591659"/>
    <w:rsid w:val="61E75522"/>
    <w:rsid w:val="628C15AB"/>
    <w:rsid w:val="62E3494A"/>
    <w:rsid w:val="63A127C0"/>
    <w:rsid w:val="63A65D23"/>
    <w:rsid w:val="643337CC"/>
    <w:rsid w:val="6486110D"/>
    <w:rsid w:val="6657393D"/>
    <w:rsid w:val="67584A97"/>
    <w:rsid w:val="677223B3"/>
    <w:rsid w:val="67A92ABD"/>
    <w:rsid w:val="69496F07"/>
    <w:rsid w:val="69EF3549"/>
    <w:rsid w:val="69EF7881"/>
    <w:rsid w:val="6A3612AE"/>
    <w:rsid w:val="6A444435"/>
    <w:rsid w:val="6C67078B"/>
    <w:rsid w:val="6C9E5F9C"/>
    <w:rsid w:val="6CAF019F"/>
    <w:rsid w:val="6D196476"/>
    <w:rsid w:val="6E24628A"/>
    <w:rsid w:val="6E3F6EBE"/>
    <w:rsid w:val="6E941BF2"/>
    <w:rsid w:val="6FAA478B"/>
    <w:rsid w:val="72907AE6"/>
    <w:rsid w:val="72D66085"/>
    <w:rsid w:val="73886E3F"/>
    <w:rsid w:val="748D204D"/>
    <w:rsid w:val="759C12F7"/>
    <w:rsid w:val="76B83B9D"/>
    <w:rsid w:val="773C2FA7"/>
    <w:rsid w:val="779A7CDC"/>
    <w:rsid w:val="77FC76C0"/>
    <w:rsid w:val="77FD188C"/>
    <w:rsid w:val="785C7584"/>
    <w:rsid w:val="79137553"/>
    <w:rsid w:val="797B4D12"/>
    <w:rsid w:val="79F05A9B"/>
    <w:rsid w:val="7E4504CE"/>
    <w:rsid w:val="7F5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8" w:firstLineChars="200"/>
    </w:pPr>
    <w:rPr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hbjjcz</Company>
  <Pages>11</Pages>
  <Words>898</Words>
  <Characters>5119</Characters>
  <Lines>42</Lines>
  <Paragraphs>12</Paragraphs>
  <TotalTime>21</TotalTime>
  <ScaleCrop>false</ScaleCrop>
  <LinksUpToDate>false</LinksUpToDate>
  <CharactersWithSpaces>6005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2019-01-14T00:41:00Z</dcterms:created>
  <dc:creator>hhb</dc:creator>
  <cp:lastModifiedBy>Uni</cp:lastModifiedBy>
  <cp:lastPrinted>2020-03-27T00:43:00Z</cp:lastPrinted>
  <dcterms:modified xsi:type="dcterms:W3CDTF">2020-06-24T09:10:40Z</dcterms:modified>
  <dc:title>二OO一年曲江县环境质量简报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