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E1A8A">
      <w:pPr>
        <w:pStyle w:val="5"/>
        <w:bidi w:val="0"/>
        <w:ind w:left="0" w:leftChars="0" w:firstLine="0" w:firstLineChars="0"/>
        <w:rPr>
          <w:rFonts w:hint="default"/>
          <w:lang w:val="en-US" w:eastAsia="zh-CN"/>
        </w:rPr>
      </w:pPr>
      <w:bookmarkStart w:id="0" w:name="_GoBack"/>
      <w:bookmarkEnd w:id="0"/>
      <w:r>
        <w:rPr>
          <w:rFonts w:hint="eastAsia"/>
          <w:lang w:val="en-US" w:eastAsia="zh-CN"/>
        </w:rPr>
        <w:t>附件2</w:t>
      </w:r>
    </w:p>
    <w:p w14:paraId="6FBF8CDF">
      <w:pPr>
        <w:pStyle w:val="7"/>
        <w:bidi w:val="0"/>
        <w:ind w:firstLine="640" w:firstLineChars="200"/>
        <w:rPr>
          <w:rFonts w:hint="eastAsia"/>
          <w:lang w:val="en-US" w:eastAsia="zh-CN"/>
        </w:rPr>
      </w:pPr>
    </w:p>
    <w:p w14:paraId="20D9FC9D">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关于《曲江区城镇管道燃气销售</w:t>
      </w:r>
    </w:p>
    <w:p w14:paraId="438C6EC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价格方案》的起草说明</w:t>
      </w:r>
    </w:p>
    <w:p w14:paraId="7207BD32">
      <w:pPr>
        <w:pStyle w:val="13"/>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p>
    <w:p w14:paraId="09CB6739">
      <w:pPr>
        <w:pStyle w:val="13"/>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32"/>
          <w:lang w:eastAsia="zh-CN"/>
        </w:rPr>
        <w:t>为加强</w:t>
      </w:r>
      <w:r>
        <w:rPr>
          <w:rFonts w:hint="eastAsia" w:ascii="仿宋_GB2312" w:hAnsi="仿宋_GB2312" w:eastAsia="仿宋_GB2312" w:cs="仿宋_GB2312"/>
          <w:sz w:val="32"/>
          <w:szCs w:val="32"/>
        </w:rPr>
        <w:t>城镇管道燃气</w:t>
      </w:r>
      <w:r>
        <w:rPr>
          <w:rFonts w:hint="eastAsia" w:ascii="仿宋_GB2312" w:hAnsi="仿宋_GB2312" w:eastAsia="仿宋_GB2312" w:cs="仿宋_GB2312"/>
          <w:sz w:val="32"/>
          <w:szCs w:val="32"/>
          <w:lang w:eastAsia="zh-CN"/>
        </w:rPr>
        <w:t>价格管理，促进燃气行业健康发展，维护消费者的合法权益</w:t>
      </w:r>
      <w:r>
        <w:rPr>
          <w:rFonts w:hint="eastAsia"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《广东省定价目录（</w:t>
      </w:r>
      <w:r>
        <w:rPr>
          <w:rFonts w:hint="eastAsia" w:ascii="仿宋_GB2312" w:hAnsi="仿宋_GB2312" w:eastAsia="仿宋_GB2312" w:cs="仿宋_GB2312"/>
          <w:sz w:val="32"/>
          <w:szCs w:val="32"/>
          <w:lang w:val="en-US" w:eastAsia="zh-CN"/>
        </w:rPr>
        <w:t>2022年版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等规定</w:t>
      </w:r>
      <w:r>
        <w:rPr>
          <w:rFonts w:hint="eastAsia" w:ascii="仿宋_GB2312" w:hAnsi="仿宋_GB2312" w:eastAsia="仿宋_GB2312" w:cs="仿宋_GB2312"/>
          <w:sz w:val="32"/>
          <w:szCs w:val="32"/>
          <w:lang w:val="en-US" w:eastAsia="zh-CN"/>
        </w:rPr>
        <w:t>，在成本监审基础上，区发改局初步拟定了《曲江区城镇管道燃气销售价格方案》</w:t>
      </w:r>
      <w:r>
        <w:rPr>
          <w:rFonts w:hint="eastAsia" w:ascii="仿宋_GB2312" w:hAnsi="仿宋_GB2312" w:eastAsia="仿宋_GB2312" w:cs="仿宋_GB2312"/>
          <w:sz w:val="32"/>
          <w:szCs w:val="40"/>
        </w:rPr>
        <w:t>（征求意见稿</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以下简称《方案》），现将《方案》起草情况说明如下：</w:t>
      </w:r>
    </w:p>
    <w:p w14:paraId="188259B6">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40"/>
          <w:lang w:val="en-US" w:eastAsia="zh-CN"/>
        </w:rPr>
      </w:pPr>
      <w:r>
        <w:rPr>
          <w:rFonts w:hint="eastAsia" w:ascii="黑体" w:hAnsi="黑体" w:eastAsia="黑体" w:cs="黑体"/>
          <w:sz w:val="32"/>
          <w:szCs w:val="40"/>
          <w:lang w:val="en-US" w:eastAsia="zh-CN"/>
        </w:rPr>
        <w:t>一、起草的背景和意义</w:t>
      </w:r>
    </w:p>
    <w:p w14:paraId="63B26A1B">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目前，我区仍在执行燃气临时价格措施，居民生活用气第一档4.30</w:t>
      </w:r>
      <w:r>
        <w:rPr>
          <w:rFonts w:hint="eastAsia" w:ascii="仿宋_GB2312" w:hAnsi="仿宋_GB2312" w:eastAsia="仿宋_GB2312" w:cs="仿宋_GB2312"/>
          <w:b w:val="0"/>
          <w:bCs w:val="0"/>
          <w:color w:val="auto"/>
          <w:kern w:val="0"/>
          <w:sz w:val="32"/>
          <w:highlight w:val="none"/>
          <w:lang w:val="en-US" w:eastAsia="zh-CN"/>
        </w:rPr>
        <w:t>元</w:t>
      </w:r>
      <w:r>
        <w:rPr>
          <w:rFonts w:hint="eastAsia" w:ascii="仿宋_GB2312" w:hAnsi="仿宋_GB2312" w:eastAsia="仿宋_GB2312" w:cs="仿宋_GB2312"/>
          <w:b w:val="0"/>
          <w:bCs w:val="0"/>
          <w:color w:val="auto"/>
          <w:kern w:val="0"/>
          <w:sz w:val="32"/>
          <w:highlight w:val="none"/>
          <w:lang w:eastAsia="zh-CN"/>
        </w:rPr>
        <w:t>/m³，</w:t>
      </w:r>
      <w:r>
        <w:rPr>
          <w:rFonts w:hint="eastAsia" w:ascii="仿宋_GB2312" w:hAnsi="仿宋_GB2312" w:eastAsia="仿宋_GB2312" w:cs="仿宋_GB2312"/>
          <w:b w:val="0"/>
          <w:bCs w:val="0"/>
          <w:color w:val="auto"/>
          <w:kern w:val="0"/>
          <w:sz w:val="32"/>
          <w:highlight w:val="none"/>
          <w:lang w:val="en-US" w:eastAsia="zh-CN"/>
        </w:rPr>
        <w:t>非居民用气销售价格按照不超过上月平均购气价格确定</w:t>
      </w:r>
      <w:r>
        <w:rPr>
          <w:rFonts w:hint="eastAsia" w:ascii="仿宋_GB2312" w:hAnsi="仿宋_GB2312" w:eastAsia="仿宋_GB2312" w:cs="仿宋_GB2312"/>
          <w:kern w:val="2"/>
          <w:sz w:val="32"/>
          <w:szCs w:val="32"/>
          <w:lang w:val="en-US" w:eastAsia="zh-CN" w:bidi="ar-SA"/>
        </w:rPr>
        <w:t>。适时结束临时价格措施，可以合理降低我区居民用气价格并稳定非居民用气价格。该项调整，一方面能够减轻居民用气负担，持续增进民生福祉，保障群众基本生活；另一方面有利于稳定非居民用气经营成本，优化营商环境，助力各类市场主体平稳运营，实现民生保障与经济发展统筹兼顾。</w:t>
      </w:r>
    </w:p>
    <w:p w14:paraId="5C4733BE">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二、政策依据</w:t>
      </w:r>
    </w:p>
    <w:p w14:paraId="78BA9B4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w:t>
      </w:r>
      <w:r>
        <w:rPr>
          <w:rFonts w:hint="eastAsia" w:ascii="仿宋_GB2312" w:hAnsi="仿宋_GB2312" w:eastAsia="仿宋_GB2312" w:cs="仿宋_GB2312"/>
          <w:sz w:val="32"/>
          <w:szCs w:val="32"/>
          <w:lang w:val="en-US" w:eastAsia="zh-CN"/>
        </w:rPr>
        <w:t>《广东省定价目录（2022年版）》（粤府办〔2022〕5号）</w:t>
      </w:r>
    </w:p>
    <w:p w14:paraId="0D00012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w:t>
      </w:r>
      <w:r>
        <w:rPr>
          <w:rFonts w:hint="eastAsia" w:ascii="仿宋_GB2312" w:hAnsi="仿宋_GB2312" w:eastAsia="仿宋_GB2312" w:cs="仿宋_GB2312"/>
          <w:sz w:val="32"/>
          <w:szCs w:val="32"/>
        </w:rPr>
        <w:t>《广东省发展改革委关于印发政府制定价格行为规则实施细则的通知》（粤发改规〔2019〕2号）</w:t>
      </w:r>
    </w:p>
    <w:p w14:paraId="7A39531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val="en-US" w:eastAsia="zh-CN"/>
        </w:rPr>
        <w:t>（三）</w:t>
      </w:r>
      <w:r>
        <w:rPr>
          <w:rFonts w:hint="eastAsia" w:ascii="仿宋_GB2312" w:hAnsi="仿宋_GB2312" w:eastAsia="仿宋_GB2312" w:cs="仿宋_GB2312"/>
          <w:sz w:val="32"/>
          <w:szCs w:val="32"/>
          <w:lang w:val="en-US" w:eastAsia="zh-CN"/>
        </w:rPr>
        <w:t>《广东省发展改革委关于印发〈广东省发展改革委城镇管道燃气价格管理办法</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粤发改规</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号）</w:t>
      </w:r>
    </w:p>
    <w:p w14:paraId="6799DF9B">
      <w:pPr>
        <w:pStyle w:val="2"/>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pacing w:val="0"/>
          <w:kern w:val="2"/>
          <w:position w:val="0"/>
          <w:sz w:val="32"/>
          <w:szCs w:val="32"/>
          <w:shd w:val="clear" w:color="auto" w:fill="auto"/>
          <w:lang w:val="en-US" w:eastAsia="zh-CN" w:bidi="ar-SA"/>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w:t>
      </w:r>
      <w:r>
        <w:rPr>
          <w:rFonts w:hint="eastAsia" w:ascii="Times New Roman" w:hAnsi="Times New Roman" w:eastAsia="仿宋_GB2312" w:cs="仿宋_GB2312"/>
          <w:color w:val="auto"/>
          <w:spacing w:val="0"/>
          <w:kern w:val="2"/>
          <w:position w:val="0"/>
          <w:sz w:val="32"/>
          <w:szCs w:val="32"/>
          <w:shd w:val="clear" w:color="auto" w:fill="auto"/>
          <w:lang w:val="en-US" w:eastAsia="zh-CN" w:bidi="ar-SA"/>
        </w:rPr>
        <w:t>《广东省发展改革委关于实施居民生活用气阶梯价格制度有关工</w:t>
      </w:r>
      <w:r>
        <w:rPr>
          <w:rFonts w:hint="eastAsia" w:ascii="仿宋_GB2312" w:hAnsi="仿宋_GB2312" w:eastAsia="仿宋_GB2312" w:cs="仿宋_GB2312"/>
          <w:color w:val="auto"/>
          <w:spacing w:val="0"/>
          <w:kern w:val="2"/>
          <w:position w:val="0"/>
          <w:sz w:val="32"/>
          <w:szCs w:val="32"/>
          <w:shd w:val="clear" w:color="auto" w:fill="auto"/>
          <w:lang w:val="en-US" w:eastAsia="zh-CN" w:bidi="ar-SA"/>
        </w:rPr>
        <w:t>作的通知》（粤发改价格〔2014〕381号）</w:t>
      </w:r>
    </w:p>
    <w:p w14:paraId="2E3B53FE">
      <w:pPr>
        <w:pStyle w:val="2"/>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仿宋_GB2312" w:eastAsia="仿宋_GB2312" w:cs="仿宋_GB2312"/>
          <w:color w:val="auto"/>
          <w:spacing w:val="0"/>
          <w:kern w:val="2"/>
          <w:position w:val="0"/>
          <w:sz w:val="32"/>
          <w:szCs w:val="32"/>
          <w:shd w:val="clear" w:color="auto" w:fill="auto"/>
          <w:lang w:val="en-US" w:eastAsia="zh-CN" w:bidi="ar-SA"/>
        </w:rPr>
      </w:pPr>
      <w:r>
        <w:rPr>
          <w:rFonts w:hint="eastAsia" w:ascii="楷体_GB2312" w:hAnsi="楷体_GB2312" w:eastAsia="楷体_GB2312" w:cs="楷体_GB2312"/>
          <w:sz w:val="32"/>
          <w:szCs w:val="32"/>
          <w:lang w:val="en-US" w:eastAsia="zh-CN"/>
        </w:rPr>
        <w:t>（五）</w:t>
      </w:r>
      <w:r>
        <w:rPr>
          <w:rFonts w:hint="eastAsia" w:ascii="仿宋_GB2312" w:hAnsi="仿宋_GB2312" w:eastAsia="仿宋_GB2312"/>
          <w:strike w:val="0"/>
          <w:dstrike w:val="0"/>
          <w:sz w:val="32"/>
          <w:szCs w:val="32"/>
          <w:u w:val="none"/>
          <w:lang w:eastAsia="zh-CN"/>
        </w:rPr>
        <w:t>《国家发展改革委印发〈关于加强配气价格监管的指导意见〉的通知》（发改价格〔2017〕1171号）</w:t>
      </w:r>
    </w:p>
    <w:p w14:paraId="2CB28E82">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三、主要内容</w:t>
      </w:r>
    </w:p>
    <w:p w14:paraId="035E7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32"/>
          <w:szCs w:val="32"/>
          <w:lang w:val="en-US" w:eastAsia="zh-CN"/>
        </w:rPr>
        <w:t>曲江区城镇管道燃气销售价格方案</w:t>
      </w:r>
      <w:r>
        <w:rPr>
          <w:rFonts w:hint="eastAsia" w:ascii="仿宋_GB2312" w:hAnsi="仿宋_GB2312" w:eastAsia="仿宋_GB2312" w:cs="仿宋_GB2312"/>
          <w:kern w:val="2"/>
          <w:sz w:val="32"/>
          <w:szCs w:val="32"/>
          <w:lang w:val="en-US" w:eastAsia="zh-CN" w:bidi="ar-SA"/>
        </w:rPr>
        <w:t>》（征求意见稿）共6部分。</w:t>
      </w:r>
    </w:p>
    <w:p w14:paraId="4BA7508E">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Times New Roman" w:hAnsi="Times New Roman" w:cs="仿宋_GB2312"/>
          <w:color w:val="auto"/>
          <w:spacing w:val="0"/>
          <w:position w:val="0"/>
          <w:sz w:val="32"/>
          <w:shd w:val="clear" w:color="auto" w:fill="auto"/>
          <w:lang w:val="en-US" w:eastAsia="zh-CN"/>
        </w:rPr>
        <w:t>第一部分是企业简介，主要包含我区现有的三家</w:t>
      </w:r>
      <w:r>
        <w:rPr>
          <w:rFonts w:hint="eastAsia" w:ascii="仿宋_GB2312" w:hAnsi="仿宋_GB2312" w:eastAsia="仿宋_GB2312"/>
          <w:sz w:val="32"/>
          <w:lang w:val="en-US" w:eastAsia="zh-CN"/>
        </w:rPr>
        <w:t>有终端用户的燃气经营企业</w:t>
      </w:r>
      <w:r>
        <w:rPr>
          <w:rFonts w:hint="eastAsia" w:ascii="仿宋_GB2312" w:hAnsi="仿宋_GB2312"/>
          <w:sz w:val="32"/>
          <w:lang w:val="en-US" w:eastAsia="zh-CN"/>
        </w:rPr>
        <w:t>的基本情况和用户规模。</w:t>
      </w:r>
    </w:p>
    <w:p w14:paraId="26629BC1">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仿宋_GB2312"/>
          <w:color w:val="auto"/>
          <w:spacing w:val="0"/>
          <w:position w:val="0"/>
          <w:sz w:val="32"/>
          <w:shd w:val="clear" w:color="auto" w:fill="auto"/>
          <w:lang w:val="en-US" w:eastAsia="zh-CN"/>
        </w:rPr>
      </w:pPr>
      <w:r>
        <w:rPr>
          <w:rFonts w:hint="eastAsia" w:ascii="Times New Roman" w:hAnsi="Times New Roman" w:cs="仿宋_GB2312"/>
          <w:color w:val="auto"/>
          <w:spacing w:val="0"/>
          <w:position w:val="0"/>
          <w:sz w:val="32"/>
          <w:shd w:val="clear" w:color="auto" w:fill="auto"/>
          <w:lang w:val="en-US" w:eastAsia="zh-CN"/>
        </w:rPr>
        <w:t>第二部分是管理形式，主要明确</w:t>
      </w:r>
      <w:r>
        <w:rPr>
          <w:rFonts w:hint="default" w:ascii="仿宋_GB2312" w:hAnsi="Times New Roman" w:eastAsia="仿宋_GB2312" w:cs="Times New Roman"/>
          <w:kern w:val="0"/>
          <w:sz w:val="32"/>
          <w:szCs w:val="32"/>
          <w:lang w:val="en-US" w:eastAsia="zh-CN" w:bidi="ar-SA"/>
        </w:rPr>
        <w:t>居民配气价格和销售价格实行政府定价。非居民配气价格和销售价格实行政府指导价</w:t>
      </w:r>
      <w:r>
        <w:rPr>
          <w:rFonts w:hint="eastAsia" w:ascii="仿宋_GB2312" w:hAnsi="Times New Roman" w:cs="Times New Roman"/>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居民生活用气执行阶梯气价，各档气量价格实行超额累进加价。</w:t>
      </w:r>
    </w:p>
    <w:p w14:paraId="3EFFF4B8">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仿宋_GB2312"/>
          <w:color w:val="auto"/>
          <w:spacing w:val="0"/>
          <w:position w:val="0"/>
          <w:sz w:val="32"/>
          <w:shd w:val="clear" w:color="auto" w:fill="auto"/>
          <w:lang w:val="en-US" w:eastAsia="zh-CN"/>
        </w:rPr>
      </w:pPr>
      <w:r>
        <w:rPr>
          <w:rFonts w:hint="eastAsia" w:ascii="Times New Roman" w:hAnsi="Times New Roman" w:cs="仿宋_GB2312"/>
          <w:color w:val="auto"/>
          <w:spacing w:val="0"/>
          <w:position w:val="0"/>
          <w:sz w:val="32"/>
          <w:shd w:val="clear" w:color="auto" w:fill="auto"/>
          <w:lang w:val="en-US" w:eastAsia="zh-CN"/>
        </w:rPr>
        <w:t>第三部分是现行价格，主要包含我区现行的燃气价格，</w:t>
      </w:r>
      <w:r>
        <w:rPr>
          <w:rFonts w:hint="eastAsia" w:ascii="仿宋_GB2312" w:hAnsi="仿宋_GB2312" w:eastAsia="仿宋_GB2312"/>
          <w:sz w:val="32"/>
          <w:lang w:val="en-US" w:eastAsia="zh-CN"/>
        </w:rPr>
        <w:t>其中，城区</w:t>
      </w:r>
      <w:r>
        <w:rPr>
          <w:rFonts w:hint="eastAsia" w:ascii="仿宋_GB2312" w:hAnsi="仿宋_GB2312" w:eastAsia="仿宋_GB2312"/>
          <w:sz w:val="32"/>
          <w:lang w:eastAsia="zh-CN"/>
        </w:rPr>
        <w:t>居民用户</w:t>
      </w:r>
      <w:r>
        <w:rPr>
          <w:rFonts w:hint="eastAsia" w:ascii="仿宋_GB2312" w:hAnsi="仿宋_GB2312" w:eastAsia="仿宋_GB2312"/>
          <w:sz w:val="32"/>
          <w:lang w:val="en-US" w:eastAsia="zh-CN"/>
        </w:rPr>
        <w:t>第一档为4.30</w:t>
      </w:r>
      <w:r>
        <w:rPr>
          <w:rFonts w:hint="eastAsia" w:ascii="仿宋_GB2312" w:hAnsi="仿宋_GB2312" w:eastAsia="仿宋_GB2312"/>
          <w:sz w:val="32"/>
          <w:lang w:eastAsia="zh-CN"/>
        </w:rPr>
        <w:t>元/立方米</w:t>
      </w:r>
      <w:r>
        <w:rPr>
          <w:rFonts w:hint="eastAsia" w:ascii="仿宋_GB2312" w:hAnsi="仿宋_GB2312" w:eastAsia="仿宋_GB2312"/>
          <w:sz w:val="32"/>
          <w:lang w:val="en-US" w:eastAsia="zh-CN"/>
        </w:rPr>
        <w:t>，第二档为4.50</w:t>
      </w:r>
      <w:r>
        <w:rPr>
          <w:rFonts w:hint="eastAsia" w:ascii="仿宋_GB2312" w:hAnsi="仿宋_GB2312" w:eastAsia="仿宋_GB2312"/>
          <w:sz w:val="32"/>
          <w:lang w:eastAsia="zh-CN"/>
        </w:rPr>
        <w:t>元/立方米，</w:t>
      </w:r>
      <w:r>
        <w:rPr>
          <w:rFonts w:hint="eastAsia" w:ascii="仿宋_GB2312" w:hAnsi="仿宋_GB2312" w:eastAsia="仿宋_GB2312"/>
          <w:sz w:val="32"/>
          <w:lang w:val="en-US" w:eastAsia="zh-CN"/>
        </w:rPr>
        <w:t>第三档为4.75</w:t>
      </w:r>
      <w:r>
        <w:rPr>
          <w:rFonts w:hint="eastAsia" w:ascii="仿宋_GB2312" w:hAnsi="仿宋_GB2312" w:eastAsia="仿宋_GB2312"/>
          <w:sz w:val="32"/>
          <w:lang w:eastAsia="zh-CN"/>
        </w:rPr>
        <w:t>元/立方米</w:t>
      </w:r>
      <w:r>
        <w:rPr>
          <w:rFonts w:hint="eastAsia" w:ascii="仿宋_GB2312" w:hAnsi="仿宋_GB2312" w:eastAsia="仿宋_GB2312"/>
          <w:sz w:val="32"/>
          <w:lang w:val="en-US" w:eastAsia="zh-CN"/>
        </w:rPr>
        <w:t>；非居民用气销售价格为当月销售价格按不超过上月平均购气价格确定。装备园和白土开发区执行非居民销售价格基准价为3.80元/立方米（可上浮20%，下浮不限）</w:t>
      </w:r>
    </w:p>
    <w:p w14:paraId="3880A9A6">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仿宋_GB2312"/>
          <w:color w:val="auto"/>
          <w:spacing w:val="0"/>
          <w:position w:val="0"/>
          <w:sz w:val="32"/>
          <w:shd w:val="clear" w:color="auto" w:fill="auto"/>
          <w:lang w:val="en-US" w:eastAsia="zh-CN"/>
        </w:rPr>
      </w:pPr>
      <w:r>
        <w:rPr>
          <w:rFonts w:hint="eastAsia" w:ascii="Times New Roman" w:hAnsi="Times New Roman" w:cs="仿宋_GB2312"/>
          <w:color w:val="auto"/>
          <w:spacing w:val="0"/>
          <w:position w:val="0"/>
          <w:sz w:val="32"/>
          <w:shd w:val="clear" w:color="auto" w:fill="auto"/>
          <w:lang w:val="en-US" w:eastAsia="zh-CN"/>
        </w:rPr>
        <w:t>第四部分是依据及理由，主要明确了本次调价的文件依据和主要理由。</w:t>
      </w:r>
    </w:p>
    <w:p w14:paraId="2730BAF1">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仿宋_GB2312"/>
          <w:color w:val="auto"/>
          <w:spacing w:val="0"/>
          <w:position w:val="0"/>
          <w:sz w:val="32"/>
          <w:shd w:val="clear" w:color="auto" w:fill="auto"/>
          <w:lang w:val="en-US" w:eastAsia="zh-CN"/>
        </w:rPr>
      </w:pPr>
      <w:r>
        <w:rPr>
          <w:rFonts w:hint="eastAsia" w:ascii="Times New Roman" w:hAnsi="Times New Roman" w:cs="仿宋_GB2312"/>
          <w:color w:val="auto"/>
          <w:spacing w:val="0"/>
          <w:position w:val="0"/>
          <w:sz w:val="32"/>
          <w:shd w:val="clear" w:color="auto" w:fill="auto"/>
          <w:lang w:val="en-US" w:eastAsia="zh-CN"/>
        </w:rPr>
        <w:t>第五部分是定价成本监审结论，主要明确了成本监审确定的一些重要成本数据。</w:t>
      </w:r>
    </w:p>
    <w:p w14:paraId="720792C9">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仿宋_GB2312"/>
          <w:color w:val="auto"/>
          <w:spacing w:val="0"/>
          <w:position w:val="0"/>
          <w:sz w:val="32"/>
          <w:shd w:val="clear" w:color="auto" w:fill="auto"/>
          <w:lang w:val="en-US" w:eastAsia="zh-CN"/>
        </w:rPr>
      </w:pPr>
      <w:r>
        <w:rPr>
          <w:rFonts w:hint="eastAsia" w:ascii="Times New Roman" w:hAnsi="Times New Roman" w:cs="仿宋_GB2312"/>
          <w:color w:val="auto"/>
          <w:spacing w:val="0"/>
          <w:position w:val="0"/>
          <w:sz w:val="32"/>
          <w:shd w:val="clear" w:color="auto" w:fill="auto"/>
          <w:lang w:val="en-US" w:eastAsia="zh-CN"/>
        </w:rPr>
        <w:t>第六部分是优化调整方案，主要明确了拟定的两个价格方案和相应优惠措施，实施气源价格与销售价格联动机制，以及影响分析。</w:t>
      </w:r>
    </w:p>
    <w:sectPr>
      <w:footerReference r:id="rId3" w:type="default"/>
      <w:pgSz w:w="11906" w:h="16838"/>
      <w:pgMar w:top="2098" w:right="1701" w:bottom="1984" w:left="1701" w:header="850" w:footer="1474" w:gutter="0"/>
      <w:pgNumType w:fmt="numberInDash"/>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BatangChe">
    <w:altName w:val="Malgun Gothic"/>
    <w:panose1 w:val="02030609000101010101"/>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16A27">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001271">
                          <w:pPr>
                            <w:pStyle w:val="9"/>
                          </w:pP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- 1 -</w:t>
                          </w:r>
                          <w:r>
                            <w:rPr>
                              <w:rFonts w:hint="eastAsia" w:ascii="仿宋_GB2312" w:hAnsi="仿宋_GB2312" w:eastAsia="仿宋_GB2312" w:cs="仿宋_GB2312"/>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C001271">
                    <w:pPr>
                      <w:pStyle w:val="9"/>
                    </w:pP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- 1 -</w:t>
                    </w:r>
                    <w:r>
                      <w:rPr>
                        <w:rFonts w:hint="eastAsia" w:ascii="仿宋_GB2312" w:hAnsi="仿宋_GB2312" w:eastAsia="仿宋_GB2312" w:cs="仿宋_GB2312"/>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A6FBE"/>
    <w:rsid w:val="14725FD4"/>
    <w:rsid w:val="2477340B"/>
    <w:rsid w:val="2D1C5525"/>
    <w:rsid w:val="3B7C24C9"/>
    <w:rsid w:val="3EFF163F"/>
    <w:rsid w:val="42ED2553"/>
    <w:rsid w:val="475C664E"/>
    <w:rsid w:val="4AD74508"/>
    <w:rsid w:val="5A060718"/>
    <w:rsid w:val="5CEA0AA5"/>
    <w:rsid w:val="62CA6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val="0"/>
      <w:keepLines w:val="0"/>
      <w:spacing w:beforeLines="0" w:beforeAutospacing="0" w:afterLines="0" w:afterAutospacing="0" w:line="660" w:lineRule="exact"/>
      <w:ind w:firstLine="0" w:firstLineChars="0"/>
      <w:jc w:val="center"/>
      <w:outlineLvl w:val="0"/>
    </w:pPr>
    <w:rPr>
      <w:rFonts w:ascii="Times New Roman" w:hAnsi="Times New Roman" w:eastAsia="方正小标宋_GBK" w:cs="Times New Roman"/>
      <w:kern w:val="44"/>
      <w:sz w:val="44"/>
      <w:szCs w:val="22"/>
    </w:rPr>
  </w:style>
  <w:style w:type="paragraph" w:styleId="5">
    <w:name w:val="heading 2"/>
    <w:basedOn w:val="1"/>
    <w:next w:val="1"/>
    <w:unhideWhenUsed/>
    <w:qFormat/>
    <w:uiPriority w:val="0"/>
    <w:pPr>
      <w:keepNext w:val="0"/>
      <w:keepLines w:val="0"/>
      <w:widowControl w:val="0"/>
      <w:spacing w:beforeLines="0" w:beforeAutospacing="0" w:afterLines="0" w:afterAutospacing="0" w:line="600" w:lineRule="exact"/>
      <w:ind w:firstLine="684" w:firstLineChars="200"/>
      <w:outlineLvl w:val="1"/>
    </w:pPr>
    <w:rPr>
      <w:rFonts w:ascii="Times New Roman" w:hAnsi="Times New Roman" w:eastAsia="黑体" w:cs="Times New Roman"/>
      <w:sz w:val="32"/>
    </w:rPr>
  </w:style>
  <w:style w:type="paragraph" w:styleId="6">
    <w:name w:val="heading 6"/>
    <w:basedOn w:val="1"/>
    <w:next w:val="1"/>
    <w:unhideWhenUsed/>
    <w:qFormat/>
    <w:uiPriority w:val="0"/>
    <w:pPr>
      <w:keepNext w:val="0"/>
      <w:keepLines w:val="0"/>
      <w:widowControl w:val="0"/>
      <w:spacing w:beforeLines="0" w:beforeAutospacing="0" w:afterLines="0" w:afterAutospacing="0" w:line="600" w:lineRule="exact"/>
      <w:ind w:firstLine="640" w:firstLineChars="200"/>
      <w:outlineLvl w:val="5"/>
    </w:pPr>
    <w:rPr>
      <w:rFonts w:ascii="BatangChe" w:hAnsi="BatangChe" w:eastAsia="仿宋_GB2312" w:cs="Times New Roman"/>
      <w:sz w:val="32"/>
      <w:szCs w:val="32"/>
    </w:rPr>
  </w:style>
  <w:style w:type="paragraph" w:styleId="7">
    <w:name w:val="heading 7"/>
    <w:basedOn w:val="1"/>
    <w:next w:val="1"/>
    <w:unhideWhenUsed/>
    <w:qFormat/>
    <w:uiPriority w:val="0"/>
    <w:pPr>
      <w:keepNext w:val="0"/>
      <w:keepLines w:val="0"/>
      <w:overflowPunct w:val="0"/>
      <w:spacing w:beforeLines="0" w:beforeAutospacing="0" w:afterLines="0" w:afterAutospacing="0" w:line="600" w:lineRule="exact"/>
      <w:ind w:firstLine="640" w:firstLineChars="200"/>
      <w:jc w:val="both"/>
      <w:outlineLvl w:val="6"/>
    </w:pPr>
    <w:rPr>
      <w:rFonts w:ascii="Times New Roman" w:hAnsi="Times New Roman" w:eastAsia="仿宋_GB2312" w:cs="BatangChe"/>
      <w:sz w:val="32"/>
      <w:szCs w:val="3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customStyle="1" w:styleId="2">
    <w:name w:val="Body Text First Indent 2"/>
    <w:basedOn w:val="3"/>
    <w:qFormat/>
    <w:uiPriority w:val="0"/>
    <w:pPr>
      <w:spacing w:line="360" w:lineRule="auto"/>
    </w:pPr>
    <w:rPr>
      <w:rFonts w:eastAsia="宋体"/>
      <w:sz w:val="24"/>
    </w:rPr>
  </w:style>
  <w:style w:type="paragraph" w:customStyle="1" w:styleId="3">
    <w:name w:val="Body Text Indent"/>
    <w:basedOn w:val="1"/>
    <w:qFormat/>
    <w:uiPriority w:val="0"/>
    <w:pPr>
      <w:spacing w:line="150" w:lineRule="atLeast"/>
      <w:ind w:firstLine="420" w:firstLineChars="200"/>
      <w:textAlignment w:val="baseline"/>
    </w:pPr>
    <w:rPr>
      <w:rFonts w:eastAsia="宋体" w:cs="Times New Roman"/>
      <w:sz w:val="21"/>
      <w:szCs w:val="24"/>
    </w:rPr>
  </w:style>
  <w:style w:type="paragraph" w:styleId="8">
    <w:name w:val="Body Text"/>
    <w:basedOn w:val="1"/>
    <w:qFormat/>
    <w:uiPriority w:val="0"/>
    <w:pPr>
      <w:spacing w:afterLines="0" w:afterAutospacing="0"/>
    </w:pPr>
    <w:rPr>
      <w:rFonts w:ascii="Times New Roman" w:hAnsi="Times New Roman"/>
    </w:r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3">
    <w:name w:val="Normal Indent1"/>
    <w:basedOn w:val="1"/>
    <w:qFormat/>
    <w:uiPriority w:val="0"/>
    <w:pPr>
      <w:ind w:firstLine="420" w:firstLineChars="200"/>
    </w:pPr>
    <w:rPr>
      <w:rFonts w:ascii="宋体" w:hAnsi="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986</Words>
  <Characters>1031</Characters>
  <Lines>0</Lines>
  <Paragraphs>0</Paragraphs>
  <TotalTime>3</TotalTime>
  <ScaleCrop>false</ScaleCrop>
  <LinksUpToDate>false</LinksUpToDate>
  <CharactersWithSpaces>1031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2025-08-15T00:38:00Z</dcterms:created>
  <dc:creator>Administrator</dc:creator>
  <cp:lastModifiedBy>无名氏</cp:lastModifiedBy>
  <dcterms:modified xsi:type="dcterms:W3CDTF">2021-08-27T00:26:20Z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74D89AC897494805A5B6F952841881B6_12</vt:lpwstr>
  </property>
  <property fmtid="{D5CDD505-2E9C-101B-9397-08002B2CF9AE}" pid="4" name="KSOTemplateDocerSaveRecord">
    <vt:lpwstr>eyJoZGlkIjoiMzc1MTc4YjJhZGQxODFlODBiMTYxYTdkNjFhMDA5YjIiLCJ1c2VySWQiOiI4Mjk4MjkwNzMifQ==</vt:lpwstr>
  </property>
</Properties>
</file>