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textAlignment w:val="auto"/>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附件2：</w:t>
      </w:r>
    </w:p>
    <w:p>
      <w:pPr>
        <w:pStyle w:val="2"/>
        <w:numPr>
          <w:numId w:val="0"/>
        </w:numPr>
        <w:ind w:left="360" w:leftChars="0"/>
        <w:rPr>
          <w:rFonts w:hint="eastAsia"/>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《曲江城区范围内可新开发智慧停车项目实施方案（征求意见稿）》起草说明</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880" w:firstLineChars="200"/>
        <w:textAlignment w:val="auto"/>
        <w:rPr>
          <w:rFonts w:hint="eastAsia" w:ascii="方正小标宋简体" w:hAnsi="方正小标宋简体" w:eastAsia="方正小标宋简体" w:cs="方正小标宋简体"/>
          <w:sz w:val="44"/>
          <w:szCs w:val="44"/>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一、起草背景</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ascii="仿宋_GB2312" w:hAnsi="仿宋_GB2312" w:eastAsia="仿宋_GB2312" w:cs="仿宋_GB2312"/>
          <w:sz w:val="32"/>
          <w:szCs w:val="32"/>
        </w:rPr>
        <w:t>根据韶关市智慧停车“一张网”建设项目（一期）工作要求，我区4702个公共停车泊位已移交给韶关市城市运营有限公司。为进一步满足群众停车需求，在韶关市智慧停车“一张网”建设项目（一期）基础上，将曲江城区部分具备条件的道路设置智慧路边停车车位，以改善车位短缺、停车混乱、长期占用、管理无序等现象。</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bookmarkStart w:id="0" w:name="_Toc8447"/>
      <w:bookmarkStart w:id="1" w:name="_Toc3056"/>
      <w:r>
        <w:rPr>
          <w:rFonts w:hint="eastAsia" w:ascii="黑体" w:hAnsi="黑体" w:eastAsia="黑体" w:cs="黑体"/>
          <w:sz w:val="32"/>
          <w:szCs w:val="32"/>
          <w:lang w:val="en-US" w:eastAsia="zh-CN"/>
        </w:rPr>
        <w:t>二、起草依据</w:t>
      </w:r>
      <w:bookmarkEnd w:id="0"/>
      <w:bookmarkEnd w:id="1"/>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bookmarkStart w:id="2" w:name="_Toc12577"/>
      <w:bookmarkStart w:id="3" w:name="_Toc2231"/>
      <w:r>
        <w:rPr>
          <w:rFonts w:hint="eastAsia" w:ascii="仿宋_GB2312" w:hAnsi="仿宋_GB2312" w:eastAsia="仿宋_GB2312" w:cs="仿宋_GB2312"/>
          <w:b w:val="0"/>
          <w:bCs w:val="0"/>
          <w:color w:val="000000"/>
          <w:sz w:val="32"/>
          <w:szCs w:val="32"/>
        </w:rPr>
        <w:t xml:space="preserve">根据《国务院办公厅转发国家发展改革委等部门关于推动城市 停车设施发展意见的通知》（国办函〔2021〕46 号）、《国务院办公厅关于进一步盘活存量资产扩大有效投资的意见》（国办发 〔2022〕19 号）等文件精神和要求，以“加强车位供给、提升使用效率”为工作目标，坚持“共建共享、定价合理；取之于民、用之于民”原则，积极盘活城市公共资源。通过盘活可利用的经营性资源，实施有偿使用权出让方式。同时，按照共建共享原则，制定合理收费价格，发挥经济杠杆调节作用，提升车位使用效率，达到公益性和经济性相协调的工作目标。 </w:t>
      </w:r>
    </w:p>
    <w:p>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三、规划原则</w:t>
      </w:r>
      <w:bookmarkEnd w:id="2"/>
      <w:bookmarkEnd w:id="3"/>
    </w:p>
    <w:p>
      <w:pPr>
        <w:keepNext w:val="0"/>
        <w:keepLines w:val="0"/>
        <w:pageBreakBefore w:val="0"/>
        <w:kinsoku/>
        <w:wordWrap/>
        <w:overflowPunct/>
        <w:topLinePunct w:val="0"/>
        <w:autoSpaceDE w:val="0"/>
        <w:autoSpaceDN w:val="0"/>
        <w:bidi w:val="0"/>
        <w:adjustRightInd w:val="0"/>
        <w:spacing w:line="560" w:lineRule="exact"/>
        <w:ind w:right="0" w:rightChars="0" w:firstLine="640"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1、项目建设符合《关于开展 ETC 智慧停车城市建设试点工作的通知》、《国务院办公厅转发国家发展改革委等部门关于推动城 市停车设施发展意见的通知》、《韶关市国民经济和社会发展第十四个五年规划和二〇三五年远景目标纲要》等政策文件的要求；是缓解曲江区停车供需矛盾，优化资源配置的需要；是提高曲江区停车管理智能化水平，加强政府性资源的统筹管理，完善停车管理机制的需要；有利于提高车位周转率，促进公共资源有效利用发展；是强化韶关静态交通监管，促进城市道路交通与经济社会协调发展的需要。因此，本项目的建设是必要的。 </w:t>
      </w:r>
    </w:p>
    <w:p>
      <w:pPr>
        <w:keepNext w:val="0"/>
        <w:keepLines w:val="0"/>
        <w:pageBreakBefore w:val="0"/>
        <w:kinsoku/>
        <w:wordWrap/>
        <w:overflowPunct/>
        <w:topLinePunct w:val="0"/>
        <w:autoSpaceDE w:val="0"/>
        <w:autoSpaceDN w:val="0"/>
        <w:bidi w:val="0"/>
        <w:adjustRightInd w:val="0"/>
        <w:spacing w:line="560" w:lineRule="exact"/>
        <w:ind w:right="0" w:rightChars="0" w:firstLine="640"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2、本项目为智慧停车项目，属于具有一定公益性质，且可通过停车位获取经营收入的项目，符合财政部国家发展和改革委员会住房和城乡建设部关于印发《市政公共资源有偿使用收入管理办法》（财税〔2016〕116 号）的要求，适宜开展公共资源有偿使用。 </w:t>
      </w:r>
    </w:p>
    <w:p>
      <w:pPr>
        <w:keepNext w:val="0"/>
        <w:keepLines w:val="0"/>
        <w:pageBreakBefore w:val="0"/>
        <w:kinsoku/>
        <w:wordWrap/>
        <w:overflowPunct/>
        <w:topLinePunct w:val="0"/>
        <w:autoSpaceDE w:val="0"/>
        <w:autoSpaceDN w:val="0"/>
        <w:bidi w:val="0"/>
        <w:adjustRightInd w:val="0"/>
        <w:spacing w:line="560" w:lineRule="exact"/>
        <w:ind w:right="0" w:rightChars="0" w:firstLine="640"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 xml:space="preserve">3、根据对韶关市曲江区停车泊位现状的分析，以及对停车泊位需求预测，研究认为本区域停车需求稳定，需求量较大，这为本工程的投资回报提供了有利条件。 </w:t>
      </w:r>
    </w:p>
    <w:p>
      <w:pPr>
        <w:keepNext w:val="0"/>
        <w:keepLines w:val="0"/>
        <w:pageBreakBefore w:val="0"/>
        <w:kinsoku/>
        <w:wordWrap/>
        <w:overflowPunct/>
        <w:topLinePunct w:val="0"/>
        <w:autoSpaceDE w:val="0"/>
        <w:autoSpaceDN w:val="0"/>
        <w:bidi w:val="0"/>
        <w:adjustRightInd w:val="0"/>
        <w:spacing w:line="560" w:lineRule="exact"/>
        <w:ind w:right="0" w:rightChars="0" w:firstLine="640" w:firstLineChars="200"/>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rPr>
        <w:t xml:space="preserve">4、该项目前期工作由韶关市曲江区市政管理中心完成，具体包116 括编制可行性研究报告及项目实施方案、组织报告评审与方案听证 会/论证会、发布实施方案征求意见稿、开展社会稳定性风险评估、通过司法局合法性审查等，最终形成《曲江城区范围内可新开发智 慧停车项目实施方案》。后续具体实施工作，将在区委区政府确定后正式推进，相关进展将及时向社会公布。 </w:t>
      </w:r>
      <w:r>
        <w:rPr>
          <w:rFonts w:hint="eastAsia" w:ascii="仿宋_GB2312" w:hAnsi="仿宋_GB2312" w:eastAsia="仿宋_GB2312" w:cs="仿宋_GB2312"/>
          <w:b w:val="0"/>
          <w:bCs w:val="0"/>
          <w:color w:val="000000"/>
          <w:sz w:val="32"/>
          <w:szCs w:val="32"/>
          <w:lang w:val="en-US" w:eastAsia="zh-CN"/>
        </w:rPr>
        <w:t xml:space="preserve">    </w:t>
      </w:r>
    </w:p>
    <w:p>
      <w:pPr>
        <w:keepNext w:val="0"/>
        <w:keepLines w:val="0"/>
        <w:pageBreakBefore w:val="0"/>
        <w:kinsoku/>
        <w:wordWrap/>
        <w:overflowPunct/>
        <w:topLinePunct w:val="0"/>
        <w:autoSpaceDE w:val="0"/>
        <w:autoSpaceDN w:val="0"/>
        <w:bidi w:val="0"/>
        <w:adjustRightInd w:val="0"/>
        <w:spacing w:line="560" w:lineRule="exact"/>
        <w:ind w:right="0" w:rightChars="0" w:firstLine="640" w:firstLineChars="200"/>
        <w:jc w:val="left"/>
        <w:textAlignment w:val="auto"/>
        <w:rPr>
          <w:rFonts w:hint="eastAsia" w:ascii="仿宋_GB2312" w:hAnsi="仿宋_GB2312" w:eastAsia="仿宋_GB2312" w:cs="仿宋_GB2312"/>
          <w:sz w:val="32"/>
          <w:szCs w:val="32"/>
          <w:lang w:val="en-US" w:eastAsia="zh-CN"/>
        </w:rPr>
      </w:pPr>
      <w:bookmarkStart w:id="4" w:name="_GoBack"/>
      <w:bookmarkEnd w:id="4"/>
      <w:r>
        <w:rPr>
          <w:rFonts w:hint="eastAsia" w:ascii="仿宋_GB2312" w:hAnsi="仿宋_GB2312" w:eastAsia="仿宋_GB2312" w:cs="仿宋_GB2312"/>
          <w:b w:val="0"/>
          <w:bCs w:val="0"/>
          <w:color w:val="000000"/>
          <w:sz w:val="32"/>
          <w:szCs w:val="32"/>
        </w:rPr>
        <w:t>综上，本项目的建设是必要的，技术上是可行的，经济上是合理的，且社会效益显著。</w:t>
      </w:r>
    </w:p>
    <w:sectPr>
      <w:footerReference r:id="rId3" w:type="default"/>
      <w:pgSz w:w="11906" w:h="16838"/>
      <w:pgMar w:top="2098" w:right="1474" w:bottom="1984" w:left="1587" w:header="851" w:footer="1474"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ΟGB2312">
    <w:altName w:val="宋体"/>
    <w:panose1 w:val="00000000000000000000"/>
    <w:charset w:val="86"/>
    <w:family w:val="roman"/>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imes New Roman PS MT">
    <w:altName w:val="Times"/>
    <w:panose1 w:val="00000000000000000000"/>
    <w:charset w:val="00"/>
    <w:family w:val="auto"/>
    <w:pitch w:val="default"/>
    <w:sig w:usb0="00000000" w:usb1="00000000" w:usb2="00000000" w:usb3="00000000" w:csb0="00000000" w:csb1="00000000"/>
  </w:font>
  <w:font w:name="Times">
    <w:altName w:val="CG Times"/>
    <w:panose1 w:val="00000000000000000000"/>
    <w:charset w:val="00"/>
    <w:family w:val="auto"/>
    <w:pitch w:val="default"/>
    <w:sig w:usb0="00000000" w:usb1="00000000" w:usb2="00000000" w:usb3="00000000" w:csb0="00000000" w:csb1="00000000"/>
  </w:font>
  <w:font w:name="CG Times">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pP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  \* MERGEFORMAT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w:t>
                    </w:r>
                    <w:r>
                      <w:rPr>
                        <w:rFonts w:hint="default" w:ascii="Times New Roman" w:hAnsi="Times New Roman" w:cs="Times New Roman"/>
                        <w:sz w:val="32"/>
                        <w:szCs w:val="3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715E68"/>
    <w:multiLevelType w:val="multilevel"/>
    <w:tmpl w:val="0D715E68"/>
    <w:lvl w:ilvl="0" w:tentative="0">
      <w:start w:val="1"/>
      <w:numFmt w:val="chineseCountingThousand"/>
      <w:pStyle w:val="2"/>
      <w:lvlText w:val="(%1)"/>
      <w:lvlJc w:val="left"/>
      <w:pPr>
        <w:ind w:left="780" w:hanging="420"/>
      </w:pPr>
      <w:rPr>
        <w:rFonts w:cs="Times New Roman"/>
      </w:rPr>
    </w:lvl>
    <w:lvl w:ilvl="1" w:tentative="0">
      <w:start w:val="1"/>
      <w:numFmt w:val="lowerLetter"/>
      <w:lvlText w:val="%2)"/>
      <w:lvlJc w:val="left"/>
      <w:pPr>
        <w:ind w:left="1200" w:hanging="420"/>
      </w:pPr>
      <w:rPr>
        <w:rFonts w:cs="Times New Roman"/>
      </w:rPr>
    </w:lvl>
    <w:lvl w:ilvl="2" w:tentative="0">
      <w:start w:val="1"/>
      <w:numFmt w:val="lowerRoman"/>
      <w:lvlText w:val="%3."/>
      <w:lvlJc w:val="right"/>
      <w:pPr>
        <w:ind w:left="1620" w:hanging="420"/>
      </w:pPr>
      <w:rPr>
        <w:rFonts w:cs="Times New Roman"/>
      </w:rPr>
    </w:lvl>
    <w:lvl w:ilvl="3" w:tentative="0">
      <w:start w:val="1"/>
      <w:numFmt w:val="decimal"/>
      <w:lvlText w:val="%4."/>
      <w:lvlJc w:val="left"/>
      <w:pPr>
        <w:ind w:left="2040" w:hanging="420"/>
      </w:pPr>
      <w:rPr>
        <w:rFonts w:cs="Times New Roman"/>
      </w:rPr>
    </w:lvl>
    <w:lvl w:ilvl="4" w:tentative="0">
      <w:start w:val="1"/>
      <w:numFmt w:val="lowerLetter"/>
      <w:lvlText w:val="%5)"/>
      <w:lvlJc w:val="left"/>
      <w:pPr>
        <w:ind w:left="2460" w:hanging="420"/>
      </w:pPr>
      <w:rPr>
        <w:rFonts w:cs="Times New Roman"/>
      </w:rPr>
    </w:lvl>
    <w:lvl w:ilvl="5" w:tentative="0">
      <w:start w:val="1"/>
      <w:numFmt w:val="lowerRoman"/>
      <w:lvlText w:val="%6."/>
      <w:lvlJc w:val="right"/>
      <w:pPr>
        <w:ind w:left="2880" w:hanging="420"/>
      </w:pPr>
      <w:rPr>
        <w:rFonts w:cs="Times New Roman"/>
      </w:rPr>
    </w:lvl>
    <w:lvl w:ilvl="6" w:tentative="0">
      <w:start w:val="1"/>
      <w:numFmt w:val="decimal"/>
      <w:lvlText w:val="%7."/>
      <w:lvlJc w:val="left"/>
      <w:pPr>
        <w:ind w:left="3300" w:hanging="420"/>
      </w:pPr>
      <w:rPr>
        <w:rFonts w:cs="Times New Roman"/>
      </w:rPr>
    </w:lvl>
    <w:lvl w:ilvl="7" w:tentative="0">
      <w:start w:val="1"/>
      <w:numFmt w:val="lowerLetter"/>
      <w:lvlText w:val="%8)"/>
      <w:lvlJc w:val="left"/>
      <w:pPr>
        <w:ind w:left="3720" w:hanging="420"/>
      </w:pPr>
      <w:rPr>
        <w:rFonts w:cs="Times New Roman"/>
      </w:rPr>
    </w:lvl>
    <w:lvl w:ilvl="8" w:tentative="0">
      <w:start w:val="1"/>
      <w:numFmt w:val="lowerRoman"/>
      <w:lvlText w:val="%9."/>
      <w:lvlJc w:val="right"/>
      <w:pPr>
        <w:ind w:left="414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IxMWJiNGM0NzhkNmNiYmVhYjA1OWVjMTJlYzljMjAifQ=="/>
  </w:docVars>
  <w:rsids>
    <w:rsidRoot w:val="736D4E79"/>
    <w:rsid w:val="01FF1F11"/>
    <w:rsid w:val="09A722B4"/>
    <w:rsid w:val="0AE61DC4"/>
    <w:rsid w:val="0B5C5BE2"/>
    <w:rsid w:val="0B973E91"/>
    <w:rsid w:val="0CDB347F"/>
    <w:rsid w:val="11036AF6"/>
    <w:rsid w:val="134D130F"/>
    <w:rsid w:val="135B5D51"/>
    <w:rsid w:val="178209FA"/>
    <w:rsid w:val="19383B62"/>
    <w:rsid w:val="1ABE7C96"/>
    <w:rsid w:val="1C4A18D8"/>
    <w:rsid w:val="1F720C23"/>
    <w:rsid w:val="204A3B16"/>
    <w:rsid w:val="21B037EE"/>
    <w:rsid w:val="22893F69"/>
    <w:rsid w:val="2A82532E"/>
    <w:rsid w:val="2DBE5027"/>
    <w:rsid w:val="37B4116F"/>
    <w:rsid w:val="3A2A021E"/>
    <w:rsid w:val="3AAB6C4F"/>
    <w:rsid w:val="3DEC38A8"/>
    <w:rsid w:val="3EAA0624"/>
    <w:rsid w:val="3F83115D"/>
    <w:rsid w:val="40222DFF"/>
    <w:rsid w:val="40874496"/>
    <w:rsid w:val="45A52139"/>
    <w:rsid w:val="4C043151"/>
    <w:rsid w:val="4F791EF0"/>
    <w:rsid w:val="513444D8"/>
    <w:rsid w:val="51714DE5"/>
    <w:rsid w:val="545D4AA3"/>
    <w:rsid w:val="548E0C37"/>
    <w:rsid w:val="57541BF2"/>
    <w:rsid w:val="59464DA9"/>
    <w:rsid w:val="5B336205"/>
    <w:rsid w:val="5DC25383"/>
    <w:rsid w:val="5F491D86"/>
    <w:rsid w:val="606C00AE"/>
    <w:rsid w:val="66D14F9A"/>
    <w:rsid w:val="68C33D20"/>
    <w:rsid w:val="690B47A2"/>
    <w:rsid w:val="69FB4103"/>
    <w:rsid w:val="6ACC66C6"/>
    <w:rsid w:val="6BD80588"/>
    <w:rsid w:val="6C236C77"/>
    <w:rsid w:val="72F8122F"/>
    <w:rsid w:val="736D4E79"/>
    <w:rsid w:val="754825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numPr>
        <w:ilvl w:val="0"/>
        <w:numId w:val="1"/>
      </w:numPr>
      <w:spacing w:line="592" w:lineRule="exact"/>
      <w:outlineLvl w:val="1"/>
    </w:pPr>
    <w:rPr>
      <w:rFonts w:eastAsia="仿宋_GB2312"/>
      <w:b/>
      <w:bCs/>
      <w:sz w:val="32"/>
      <w:szCs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index 5"/>
    <w:basedOn w:val="1"/>
    <w:next w:val="1"/>
    <w:qFormat/>
    <w:uiPriority w:val="0"/>
    <w:pPr>
      <w:ind w:left="168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2"/>
    <w:basedOn w:val="1"/>
    <w:qFormat/>
    <w:uiPriority w:val="0"/>
    <w:pPr>
      <w:spacing w:after="120" w:line="480" w:lineRule="auto"/>
      <w:ind w:rightChars="-376"/>
    </w:pPr>
    <w:rPr>
      <w:szCs w:val="20"/>
    </w:rPr>
  </w:style>
  <w:style w:type="paragraph" w:styleId="7">
    <w:name w:val="Normal (Web)"/>
    <w:basedOn w:val="1"/>
    <w:qFormat/>
    <w:uiPriority w:val="0"/>
    <w:pPr>
      <w:widowControl/>
      <w:spacing w:before="100" w:beforeAutospacing="1" w:after="100" w:afterAutospacing="1"/>
      <w:ind w:rightChars="-376"/>
      <w:jc w:val="left"/>
    </w:pPr>
    <w:rPr>
      <w:rFonts w:ascii="宋体" w:hAnsi="宋体"/>
      <w:kern w:val="0"/>
      <w:sz w:val="24"/>
    </w:rPr>
  </w:style>
  <w:style w:type="paragraph" w:customStyle="1" w:styleId="10">
    <w:name w:val="Normal Indent1"/>
    <w:basedOn w:val="11"/>
    <w:qFormat/>
    <w:uiPriority w:val="0"/>
    <w:pPr>
      <w:spacing w:line="500" w:lineRule="exact"/>
      <w:ind w:right="26" w:rightChars="8" w:firstLine="640"/>
    </w:pPr>
    <w:rPr>
      <w:rFonts w:ascii="楷体_GB2312" w:hAnsi="Times New Roman" w:eastAsia="楷体_GB2312"/>
      <w:szCs w:val="32"/>
    </w:rPr>
  </w:style>
  <w:style w:type="paragraph" w:customStyle="1" w:styleId="11">
    <w:name w:val="正文 New New New New"/>
    <w:qFormat/>
    <w:uiPriority w:val="0"/>
    <w:pPr>
      <w:widowControl w:val="0"/>
      <w:spacing w:line="600" w:lineRule="exact"/>
      <w:jc w:val="both"/>
    </w:pPr>
    <w:rPr>
      <w:rFonts w:ascii="Times New Roman" w:hAnsi="Times New Roman" w:eastAsia="仿宋_GB2312" w:cs="Times New Roman"/>
      <w:kern w:val="2"/>
      <w:sz w:val="32"/>
      <w:lang w:val="en-US" w:eastAsia="zh-CN" w:bidi="ar-SA"/>
    </w:rPr>
  </w:style>
  <w:style w:type="paragraph" w:customStyle="1" w:styleId="12">
    <w:name w:val="_Style 1"/>
    <w:basedOn w:val="1"/>
    <w:next w:val="1"/>
    <w:qFormat/>
    <w:uiPriority w:val="0"/>
    <w:pPr>
      <w:spacing w:line="580" w:lineRule="exact"/>
      <w:ind w:firstLine="420" w:firstLineChars="200"/>
    </w:pPr>
    <w:rPr>
      <w:rFonts w:cs="Times New Roman"/>
      <w:sz w:val="32"/>
    </w:rPr>
  </w:style>
  <w:style w:type="character" w:customStyle="1" w:styleId="13">
    <w:name w:val="p51"/>
    <w:qFormat/>
    <w:uiPriority w:val="0"/>
    <w:rPr>
      <w:rFonts w:hint="eastAsia" w:ascii="ΟGB2312" w:eastAsia="ΟGB2312"/>
      <w:sz w:val="27"/>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1376</Words>
  <Characters>1499</Characters>
  <Lines>0</Lines>
  <Paragraphs>0</Paragraphs>
  <TotalTime>13</TotalTime>
  <ScaleCrop>false</ScaleCrop>
  <LinksUpToDate>false</LinksUpToDate>
  <CharactersWithSpaces>1499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2022-09-23T00:35:00Z</dcterms:created>
  <dc:creator>蒙证尹</dc:creator>
  <cp:lastModifiedBy>非常平凡</cp:lastModifiedBy>
  <dcterms:modified xsi:type="dcterms:W3CDTF">2026-09-01T02:12:59Z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EC4D981078EB4A8FB1E9BD3CCDDC347B</vt:lpwstr>
  </property>
  <property fmtid="{D5CDD505-2E9C-101B-9397-08002B2CF9AE}" pid="4" name="KSOTemplateDocerSaveRecord">
    <vt:lpwstr>eyJoZGlkIjoiOWQ1MjdiNzgxNWRhZjdmNDI1NmFmM2YyNTJkMmEwOTYiLCJ1c2VySWQiOiI0Mzk5ODEyMTgifQ==</vt:lpwstr>
  </property>
</Properties>
</file>