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 w:eastAsia="黑体"/>
          <w:b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附件6</w:t>
      </w:r>
    </w:p>
    <w:p>
      <w:pPr>
        <w:jc w:val="center"/>
        <w:outlineLvl w:val="0"/>
        <w:rPr>
          <w:rFonts w:ascii="方正小标宋简体" w:hAnsi="宋体" w:eastAsia="方正小标宋简体"/>
          <w:b/>
          <w:bCs/>
          <w:sz w:val="52"/>
          <w:szCs w:val="52"/>
        </w:rPr>
      </w:pPr>
      <w:r>
        <w:rPr>
          <w:rFonts w:hint="eastAsia" w:ascii="方正小标宋简体" w:hAnsi="宋体" w:eastAsia="方正小标宋简体"/>
          <w:b/>
          <w:bCs/>
          <w:sz w:val="52"/>
          <w:szCs w:val="52"/>
        </w:rPr>
        <w:t>曲江区绩效自评报告</w:t>
      </w:r>
    </w:p>
    <w:p>
      <w:pPr>
        <w:jc w:val="center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  <w:szCs w:val="32"/>
        </w:rPr>
        <w:t>年度）</w:t>
      </w:r>
    </w:p>
    <w:p>
      <w:pPr>
        <w:jc w:val="center"/>
        <w:rPr>
          <w:rFonts w:ascii="仿宋_GB2312" w:hAnsi="宋体" w:eastAsia="仿宋_GB2312"/>
          <w:sz w:val="32"/>
          <w:szCs w:val="32"/>
        </w:rPr>
      </w:pPr>
    </w:p>
    <w:p>
      <w:pPr>
        <w:spacing w:line="720" w:lineRule="auto"/>
        <w:ind w:firstLine="1440" w:firstLineChars="450"/>
        <w:rPr>
          <w:rFonts w:ascii="仿宋_GB2312" w:hAnsi="宋体" w:eastAsia="仿宋_GB2312"/>
          <w:sz w:val="32"/>
        </w:rPr>
      </w:pPr>
    </w:p>
    <w:p>
      <w:pPr>
        <w:spacing w:line="720" w:lineRule="auto"/>
        <w:ind w:firstLine="1440" w:firstLineChars="450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 xml:space="preserve">评价类型： 项目实施过程评价 </w:t>
      </w:r>
      <w:r>
        <w:rPr>
          <w:rFonts w:hint="eastAsia" w:ascii="仿宋_GB2312" w:hAnsi="宋体" w:eastAsia="仿宋_GB2312"/>
          <w:sz w:val="32"/>
        </w:rPr>
        <w:sym w:font="Wingdings 2" w:char="00A3"/>
      </w:r>
    </w:p>
    <w:p>
      <w:pPr>
        <w:spacing w:line="720" w:lineRule="auto"/>
        <w:ind w:firstLine="1440" w:firstLineChars="450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 xml:space="preserve">           项目完成结果评价 √</w:t>
      </w:r>
    </w:p>
    <w:p>
      <w:pPr>
        <w:spacing w:beforeLines="100" w:afterLines="100" w:line="1000" w:lineRule="exact"/>
        <w:ind w:firstLine="1440" w:firstLineChars="450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项目名称：曲江区安全生产专项资金</w:t>
      </w:r>
    </w:p>
    <w:p>
      <w:pPr>
        <w:spacing w:beforeLines="100" w:afterLines="100" w:line="1000" w:lineRule="exact"/>
        <w:ind w:firstLine="1449" w:firstLineChars="453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项目单位：（公章）韶关市曲江区应急管理局</w:t>
      </w:r>
    </w:p>
    <w:p>
      <w:pPr>
        <w:spacing w:beforeLines="100" w:afterLines="100" w:line="1000" w:lineRule="exact"/>
        <w:ind w:firstLine="1449" w:firstLineChars="453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填报人姓名：肖燕云</w:t>
      </w:r>
    </w:p>
    <w:p>
      <w:pPr>
        <w:spacing w:beforeLines="100" w:afterLines="100" w:line="1000" w:lineRule="exact"/>
        <w:ind w:firstLine="1449" w:firstLineChars="453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联系电话：6667726</w:t>
      </w:r>
    </w:p>
    <w:p>
      <w:pPr>
        <w:spacing w:beforeLines="100" w:afterLines="100" w:line="1000" w:lineRule="exact"/>
        <w:ind w:firstLine="1449" w:firstLineChars="453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填报日期：202</w:t>
      </w:r>
      <w:r>
        <w:rPr>
          <w:rFonts w:hint="eastAsia" w:ascii="仿宋_GB2312" w:hAnsi="宋体" w:eastAsia="仿宋_GB2312"/>
          <w:sz w:val="32"/>
          <w:lang w:val="en-US" w:eastAsia="zh-CN"/>
        </w:rPr>
        <w:t>4</w:t>
      </w:r>
      <w:r>
        <w:rPr>
          <w:rFonts w:hint="eastAsia" w:ascii="仿宋_GB2312" w:hAnsi="宋体" w:eastAsia="仿宋_GB2312"/>
          <w:sz w:val="32"/>
        </w:rPr>
        <w:t>年</w:t>
      </w:r>
      <w:r>
        <w:rPr>
          <w:rFonts w:hint="eastAsia" w:ascii="仿宋_GB2312" w:hAnsi="宋体" w:eastAsia="仿宋_GB2312"/>
          <w:sz w:val="32"/>
          <w:lang w:val="en-US" w:eastAsia="zh-CN"/>
        </w:rPr>
        <w:t>4</w:t>
      </w:r>
      <w:r>
        <w:rPr>
          <w:rFonts w:hint="eastAsia" w:ascii="仿宋_GB2312" w:hAnsi="宋体" w:eastAsia="仿宋_GB2312"/>
          <w:sz w:val="32"/>
        </w:rPr>
        <w:t>月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曲江区安全生产专项资金绩效评价报告</w:t>
      </w:r>
    </w:p>
    <w:p>
      <w:pPr>
        <w:spacing w:line="360" w:lineRule="auto"/>
        <w:rPr>
          <w:rFonts w:ascii="仿宋_GB2312" w:hAns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</w:t>
      </w:r>
      <w:r>
        <w:rPr>
          <w:rFonts w:hint="eastAsia" w:ascii="仿宋_GB2312" w:hAnsi="仿宋" w:eastAsia="仿宋_GB2312"/>
          <w:sz w:val="32"/>
          <w:szCs w:val="32"/>
        </w:rPr>
        <w:t>促进我区企业提升隐患排查能力，提高企业从业人员素质，压实企业安全生产主体责任，</w:t>
      </w:r>
      <w:r>
        <w:rPr>
          <w:rFonts w:hint="eastAsia" w:ascii="仿宋_GB2312" w:hAnsi="仿宋_GB2312" w:eastAsia="仿宋_GB2312" w:cs="仿宋_GB2312"/>
          <w:sz w:val="32"/>
          <w:szCs w:val="32"/>
        </w:rPr>
        <w:t>保障</w:t>
      </w:r>
      <w:r>
        <w:rPr>
          <w:rFonts w:hint="eastAsia" w:ascii="仿宋_GB2312" w:hAnsi="仿宋" w:eastAsia="仿宋_GB2312"/>
          <w:sz w:val="32"/>
          <w:szCs w:val="32"/>
        </w:rPr>
        <w:t>我区安全生产监督管理工作有序开展，特设立202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年度安全生产专项资金。</w:t>
      </w:r>
      <w:r>
        <w:rPr>
          <w:rFonts w:hint="eastAsia" w:ascii="仿宋_GB2312" w:hAnsi="仿宋_GB2312" w:eastAsia="仿宋_GB2312"/>
          <w:sz w:val="32"/>
          <w:szCs w:val="32"/>
        </w:rPr>
        <w:t>202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/>
          <w:sz w:val="32"/>
          <w:szCs w:val="32"/>
        </w:rPr>
        <w:t>年，我区安全生产专项资金预算为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/>
          <w:sz w:val="32"/>
          <w:szCs w:val="32"/>
        </w:rPr>
        <w:t>万元，实际使用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86150.5</w:t>
      </w:r>
      <w:r>
        <w:rPr>
          <w:rFonts w:hint="eastAsia" w:ascii="仿宋_GB2312" w:hAnsi="仿宋_GB2312" w:eastAsia="仿宋_GB2312"/>
          <w:sz w:val="32"/>
          <w:szCs w:val="32"/>
        </w:rPr>
        <w:t>元，使用率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61.54</w:t>
      </w:r>
      <w:r>
        <w:rPr>
          <w:rFonts w:hint="eastAsia" w:ascii="仿宋_GB2312" w:hAnsi="仿宋_GB2312" w:eastAsia="仿宋_GB2312"/>
          <w:sz w:val="32"/>
          <w:szCs w:val="32"/>
        </w:rPr>
        <w:t>%，</w:t>
      </w:r>
      <w:r>
        <w:rPr>
          <w:rFonts w:hint="eastAsia" w:ascii="仿宋_GB2312" w:hAnsi="仿宋" w:eastAsia="仿宋_GB2312"/>
          <w:sz w:val="32"/>
          <w:szCs w:val="32"/>
        </w:rPr>
        <w:t>专项资金主要用以保障执法车辆、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执法耗材</w:t>
      </w:r>
      <w:r>
        <w:rPr>
          <w:rFonts w:hint="eastAsia" w:ascii="仿宋_GB2312" w:hAnsi="仿宋" w:eastAsia="仿宋_GB2312"/>
          <w:sz w:val="32"/>
          <w:szCs w:val="32"/>
        </w:rPr>
        <w:t>、专家咨询费用等安全生产工作的支出。专项资金的使用有效保证了我局安全生产执法检查、年度安全生产考核、安全生产咨询等一系列安全生产工作。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3" w:lineRule="exac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年，对全区危险化学品、冶金工贸、烟花爆竹、建筑</w:t>
      </w:r>
      <w:r>
        <w:rPr>
          <w:rFonts w:hint="eastAsia" w:ascii="仿宋_GB2312" w:hAnsi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交通等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eastAsia="zh-CN"/>
        </w:rPr>
        <w:t>重点抓实重大事故隐患专项整治工作，督促22个重点单位制订行业领域内重大事故隐患专项整治方案。我</w:t>
      </w:r>
      <w:r>
        <w:rPr>
          <w:rFonts w:hint="eastAsia" w:ascii="仿宋" w:hAnsi="仿宋" w:eastAsia="仿宋" w:cs="仿宋"/>
          <w:b w:val="0"/>
          <w:bCs/>
          <w:w w:val="100"/>
          <w:sz w:val="32"/>
          <w:szCs w:val="32"/>
          <w:lang w:val="en-US" w:eastAsia="zh-CN"/>
        </w:rPr>
        <w:t>区共计查处重大隐患150处，已全部完成整改，完成处罚13宗，处罚金额50.19万元，其中一案双罚案件4宗。开出重大隐患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color="auto" w:fill="FFFFFF"/>
        </w:rPr>
        <w:t>挂牌</w:t>
      </w:r>
      <w:r>
        <w:rPr>
          <w:rFonts w:hint="eastAsia" w:ascii="仿宋_GB2312" w:hAnsi="仿宋_GB2312" w:cs="仿宋_GB2312"/>
          <w:i w:val="0"/>
          <w:iCs w:val="0"/>
          <w:caps w:val="0"/>
          <w:color w:val="424242"/>
          <w:spacing w:val="0"/>
          <w:sz w:val="32"/>
          <w:szCs w:val="32"/>
          <w:shd w:val="clear" w:color="auto" w:fill="FFFFFF"/>
          <w:lang w:eastAsia="zh-CN"/>
        </w:rPr>
        <w:t>督办函</w:t>
      </w:r>
      <w:r>
        <w:rPr>
          <w:rFonts w:hint="eastAsia" w:ascii="仿宋" w:hAnsi="仿宋" w:eastAsia="仿宋" w:cs="仿宋"/>
          <w:b w:val="0"/>
          <w:bCs/>
          <w:w w:val="100"/>
          <w:sz w:val="32"/>
          <w:szCs w:val="32"/>
          <w:lang w:val="en-US" w:eastAsia="zh-CN"/>
        </w:rPr>
        <w:t>10份，通过齐抓共管、强力治理等方式手段督促企业落实安全生产主体责任，目前均已顺利摘牌。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绩效表现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分析资金使用</w:t>
      </w:r>
      <w:r>
        <w:rPr>
          <w:rFonts w:hint="eastAsia" w:ascii="仿宋_GB2312" w:hAnsi="仿宋_GB2312" w:eastAsia="仿宋_GB2312"/>
          <w:sz w:val="32"/>
          <w:szCs w:val="32"/>
        </w:rPr>
        <w:t>情况。</w:t>
      </w:r>
    </w:p>
    <w:p>
      <w:pPr>
        <w:spacing w:line="360" w:lineRule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    202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/>
          <w:sz w:val="32"/>
          <w:szCs w:val="32"/>
        </w:rPr>
        <w:t>年我局共使用安全生产专项资金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86150.5</w:t>
      </w:r>
      <w:r>
        <w:rPr>
          <w:rFonts w:hint="eastAsia" w:ascii="仿宋_GB2312" w:hAnsi="仿宋_GB2312" w:eastAsia="仿宋_GB2312"/>
          <w:sz w:val="32"/>
          <w:szCs w:val="32"/>
        </w:rPr>
        <w:t>元，主要包括：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安全生产执法专家费14184.7元，占比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:lang w:val="en-US" w:eastAsia="zh-CN"/>
        </w:rPr>
        <w:t>16.47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%；执法车维护费用（维修、保险等）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:lang w:val="en-US" w:eastAsia="zh-CN"/>
        </w:rPr>
        <w:t>48273.75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元，占比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:lang w:val="en-US" w:eastAsia="zh-CN"/>
        </w:rPr>
        <w:t>56.03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%；办公设备维护费用（执法电脑、移动执法设备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:lang w:eastAsia="zh-CN"/>
        </w:rPr>
        <w:t>、耗材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）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:lang w:val="en-US" w:eastAsia="zh-CN"/>
        </w:rPr>
        <w:t>23692.05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元，占比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:lang w:val="en-US" w:eastAsia="zh-CN"/>
        </w:rPr>
        <w:t>27.50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%。</w:t>
      </w:r>
      <w:r>
        <w:rPr>
          <w:rFonts w:hint="eastAsia" w:ascii="仿宋_GB2312" w:hAnsi="仿宋_GB2312" w:eastAsia="仿宋_GB2312"/>
          <w:sz w:val="32"/>
          <w:szCs w:val="32"/>
        </w:rPr>
        <w:t>以上经费的使用都遵循着经济高效、透明公开的原则，在使用过程中严格遵照采购程序、监督程序、审批程序、验收程序开展，每笔费用都有详细的票据等佐证材料。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项目的绩效目标完成情况（经济、政治和社会效益）。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3" w:lineRule="exact"/>
        <w:ind w:firstLine="640" w:firstLineChars="200"/>
        <w:jc w:val="both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安全生产专项资金主要用于我局安全生产工作提供必要物资和服务，主要用于保障</w:t>
      </w:r>
      <w:r>
        <w:rPr>
          <w:rFonts w:hint="eastAsia" w:ascii="仿宋_GB2312" w:hAnsi="仿宋" w:eastAsia="仿宋_GB2312"/>
          <w:sz w:val="32"/>
          <w:szCs w:val="32"/>
        </w:rPr>
        <w:t>执法装备、办公设备、人员培训、专家咨询费等，保障和提高我局安全生产执法检查质量、</w:t>
      </w:r>
      <w:r>
        <w:rPr>
          <w:rFonts w:hint="eastAsia" w:ascii="仿宋_GB2312" w:hAnsi="仿宋_GB2312" w:eastAsia="仿宋_GB2312" w:cs="仿宋_GB2312"/>
          <w:sz w:val="32"/>
          <w:szCs w:val="32"/>
        </w:rPr>
        <w:t>安全教育培训质量。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年，结合本局监管行业情况，开展危险化学品、非煤矿山、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工贸、“四不两直”检查</w:t>
      </w:r>
      <w:r>
        <w:rPr>
          <w:rFonts w:hint="eastAsia" w:ascii="仿宋_GB2312" w:hAnsi="仿宋" w:eastAsia="仿宋_GB2312"/>
          <w:sz w:val="32"/>
          <w:szCs w:val="32"/>
        </w:rPr>
        <w:t>等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专项整治行动</w:t>
      </w:r>
      <w:r>
        <w:rPr>
          <w:rFonts w:hint="eastAsia" w:ascii="仿宋_GB2312" w:hAnsi="仿宋" w:eastAsia="仿宋_GB2312"/>
          <w:sz w:val="32"/>
          <w:szCs w:val="32"/>
        </w:rPr>
        <w:t>，共检查企业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711</w:t>
      </w:r>
      <w:r>
        <w:rPr>
          <w:rFonts w:hint="eastAsia" w:ascii="仿宋_GB2312" w:hAnsi="仿宋" w:eastAsia="仿宋_GB2312"/>
          <w:sz w:val="32"/>
          <w:szCs w:val="32"/>
        </w:rPr>
        <w:t>家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次</w:t>
      </w:r>
      <w:r>
        <w:rPr>
          <w:rFonts w:hint="eastAsia" w:ascii="仿宋_GB2312" w:hAnsi="仿宋" w:eastAsia="仿宋_GB2312"/>
          <w:sz w:val="32"/>
          <w:szCs w:val="32"/>
        </w:rPr>
        <w:t>，共排查隐患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1343</w:t>
      </w:r>
      <w:r>
        <w:rPr>
          <w:rFonts w:hint="eastAsia" w:ascii="仿宋_GB2312" w:hAnsi="仿宋" w:eastAsia="仿宋_GB2312"/>
          <w:sz w:val="32"/>
          <w:szCs w:val="32"/>
        </w:rPr>
        <w:t>处、已整改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1315</w:t>
      </w:r>
      <w:r>
        <w:rPr>
          <w:rFonts w:hint="eastAsia" w:ascii="仿宋_GB2312" w:hAnsi="仿宋" w:eastAsia="仿宋_GB2312"/>
          <w:sz w:val="32"/>
          <w:szCs w:val="32"/>
        </w:rPr>
        <w:t>处，整改率达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97.92</w:t>
      </w:r>
      <w:r>
        <w:rPr>
          <w:rFonts w:hint="eastAsia" w:ascii="仿宋_GB2312" w:hAnsi="仿宋" w:eastAsia="仿宋_GB2312"/>
          <w:sz w:val="32"/>
          <w:szCs w:val="32"/>
        </w:rPr>
        <w:t>%。完成34宗案件的立案查处工作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移交了1宗行刑衔接案件</w:t>
      </w:r>
      <w:r>
        <w:rPr>
          <w:rFonts w:hint="eastAsia" w:ascii="仿宋_GB2312" w:hAnsi="仿宋" w:eastAsia="仿宋_GB2312"/>
          <w:sz w:val="32"/>
          <w:szCs w:val="32"/>
        </w:rPr>
        <w:t>，罚款165.97万元。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同时强化典型案例查处，查处报送典型案例8宗，超额完成市级下达的任务，完成率和合格率达到双“100”。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3" w:lineRule="exact"/>
        <w:ind w:firstLine="640" w:firstLineChars="200"/>
        <w:jc w:val="both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2023年，我局充分、合理、合规利用安全生产专项资金保障了安全生产执法检查、安全生产培训教育、安全生产考核等多项任务，达到了资金设立的目的，完成了上级文件要求和领导指示任务。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3" w:lineRule="exact"/>
        <w:ind w:firstLine="640" w:firstLineChars="200"/>
        <w:jc w:val="both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产生的效益，以及对环境、经济、社会的可持续影响。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3" w:lineRule="exact"/>
        <w:ind w:firstLine="640" w:firstLineChars="200"/>
        <w:jc w:val="both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2023年，发生生产安全事故18起，死亡10人，受伤23人，直接经济损失591万元，与去年同期相比事故起数、死亡人数、经济损失同比下降30.77%、37.5%、14.62%，受伤人数同比上升76.9%。</w:t>
      </w:r>
    </w:p>
    <w:p>
      <w:pPr>
        <w:numPr>
          <w:ilvl w:val="0"/>
          <w:numId w:val="3"/>
        </w:numPr>
        <w:spacing w:line="360" w:lineRule="auto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存在问题。</w:t>
      </w:r>
    </w:p>
    <w:p>
      <w:pPr>
        <w:spacing w:line="560" w:lineRule="exact"/>
        <w:ind w:firstLine="640" w:firstLineChars="200"/>
        <w:rPr>
          <w:rFonts w:hint="eastAsia" w:ascii="仿宋_GB2312" w:hAnsi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从专项整治“回头看”情况来看，一</w:t>
      </w:r>
      <w:r>
        <w:rPr>
          <w:rFonts w:hint="eastAsia" w:ascii="仿宋_GB2312" w:hAnsi="仿宋_GB2312" w:eastAsia="仿宋_GB2312" w:cs="仿宋_GB2312"/>
          <w:sz w:val="32"/>
          <w:szCs w:val="32"/>
        </w:rPr>
        <w:t>些部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门</w:t>
      </w:r>
      <w:r>
        <w:rPr>
          <w:rFonts w:hint="eastAsia" w:ascii="仿宋_GB2312" w:hAnsi="仿宋_GB2312" w:eastAsia="仿宋_GB2312" w:cs="仿宋_GB2312"/>
          <w:sz w:val="32"/>
          <w:szCs w:val="32"/>
        </w:rPr>
        <w:t>、企业仍存</w:t>
      </w:r>
      <w:r>
        <w:rPr>
          <w:rFonts w:ascii="仿宋_GB2312" w:hAnsi="仿宋_GB2312" w:eastAsia="仿宋_GB2312" w:cs="仿宋_GB2312"/>
          <w:sz w:val="32"/>
          <w:szCs w:val="32"/>
        </w:rPr>
        <w:t>在排查流于形式，整治浮于表面的问题，一些深层次的隐患问题未得到有效彻底根除。</w:t>
      </w:r>
    </w:p>
    <w:p>
      <w:pPr>
        <w:spacing w:line="360" w:lineRule="auto"/>
        <w:ind w:left="-199" w:leftChars="-95" w:firstLine="64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三、整改措施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今后，强化隐患排查治理工作的日常监管执法，采取定期和不定期组织开展</w:t>
      </w:r>
      <w:r>
        <w:rPr>
          <w:rFonts w:ascii="仿宋_GB2312" w:hAnsi="仿宋_GB2312" w:eastAsia="仿宋_GB2312" w:cs="仿宋_GB2312"/>
          <w:sz w:val="32"/>
          <w:szCs w:val="32"/>
        </w:rPr>
        <w:t>全区生产安全大检查。特别是对重点行业领域要认真进行安全生产专项整治行动</w:t>
      </w:r>
      <w:r>
        <w:rPr>
          <w:rFonts w:hint="eastAsia" w:ascii="仿宋_GB2312" w:hAnsi="仿宋_GB2312" w:eastAsia="仿宋_GB2312" w:cs="仿宋_GB2312"/>
          <w:sz w:val="32"/>
          <w:szCs w:val="32"/>
        </w:rPr>
        <w:t>，把安全隐患消灭在萌芽状态。</w:t>
      </w:r>
      <w:bookmarkStart w:id="0" w:name="_GoBack"/>
      <w:bookmarkEnd w:id="0"/>
    </w:p>
    <w:sectPr>
      <w:pgSz w:w="11906" w:h="16838"/>
      <w:pgMar w:top="1440" w:right="1474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3D7A02"/>
    <w:multiLevelType w:val="singleLevel"/>
    <w:tmpl w:val="0D3D7A02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80E8377"/>
    <w:multiLevelType w:val="singleLevel"/>
    <w:tmpl w:val="280E8377"/>
    <w:lvl w:ilvl="0" w:tentative="0">
      <w:start w:val="2"/>
      <w:numFmt w:val="chineseCounting"/>
      <w:suff w:val="nothing"/>
      <w:lvlText w:val="（%1）"/>
      <w:lvlJc w:val="left"/>
      <w:pPr>
        <w:ind w:left="-220"/>
      </w:pPr>
      <w:rPr>
        <w:rFonts w:hint="eastAsia"/>
      </w:rPr>
    </w:lvl>
  </w:abstractNum>
  <w:abstractNum w:abstractNumId="2">
    <w:nsid w:val="48F46144"/>
    <w:multiLevelType w:val="singleLevel"/>
    <w:tmpl w:val="48F4614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656CE"/>
    <w:rsid w:val="001656CE"/>
    <w:rsid w:val="001A257E"/>
    <w:rsid w:val="003A21D6"/>
    <w:rsid w:val="003B41D7"/>
    <w:rsid w:val="00467490"/>
    <w:rsid w:val="00507F84"/>
    <w:rsid w:val="00570865"/>
    <w:rsid w:val="005B6542"/>
    <w:rsid w:val="005F070C"/>
    <w:rsid w:val="00634C30"/>
    <w:rsid w:val="00650DB1"/>
    <w:rsid w:val="006A2DDC"/>
    <w:rsid w:val="006F159E"/>
    <w:rsid w:val="009B4204"/>
    <w:rsid w:val="009F3B00"/>
    <w:rsid w:val="00A62612"/>
    <w:rsid w:val="00B23D49"/>
    <w:rsid w:val="00E0581D"/>
    <w:rsid w:val="00E14076"/>
    <w:rsid w:val="00F64C16"/>
    <w:rsid w:val="00FA60D1"/>
    <w:rsid w:val="032A2991"/>
    <w:rsid w:val="09D3047B"/>
    <w:rsid w:val="0E126829"/>
    <w:rsid w:val="0F763B46"/>
    <w:rsid w:val="103F1AB7"/>
    <w:rsid w:val="124B210D"/>
    <w:rsid w:val="188A34D7"/>
    <w:rsid w:val="1A0F691C"/>
    <w:rsid w:val="1C7A54A7"/>
    <w:rsid w:val="21946F0F"/>
    <w:rsid w:val="2B6F1E61"/>
    <w:rsid w:val="2C7E1DC6"/>
    <w:rsid w:val="2F05024E"/>
    <w:rsid w:val="32756EC5"/>
    <w:rsid w:val="3551191B"/>
    <w:rsid w:val="38E033FA"/>
    <w:rsid w:val="396863E7"/>
    <w:rsid w:val="3D017CC9"/>
    <w:rsid w:val="3EB14DD9"/>
    <w:rsid w:val="3F282621"/>
    <w:rsid w:val="41921744"/>
    <w:rsid w:val="41E65490"/>
    <w:rsid w:val="429A6B13"/>
    <w:rsid w:val="42C57F28"/>
    <w:rsid w:val="43971997"/>
    <w:rsid w:val="45ED5574"/>
    <w:rsid w:val="48DD76A4"/>
    <w:rsid w:val="4CD76E1A"/>
    <w:rsid w:val="4CEF2AAA"/>
    <w:rsid w:val="51661C45"/>
    <w:rsid w:val="52470BE2"/>
    <w:rsid w:val="547E030F"/>
    <w:rsid w:val="564E4FAC"/>
    <w:rsid w:val="57883CD6"/>
    <w:rsid w:val="5A402530"/>
    <w:rsid w:val="5A8530FE"/>
    <w:rsid w:val="5B84025F"/>
    <w:rsid w:val="5C9C4BE6"/>
    <w:rsid w:val="5CAA6D01"/>
    <w:rsid w:val="5FD839E1"/>
    <w:rsid w:val="60B13972"/>
    <w:rsid w:val="60C66560"/>
    <w:rsid w:val="633240A4"/>
    <w:rsid w:val="65CE73A1"/>
    <w:rsid w:val="669F2EBA"/>
    <w:rsid w:val="673E6858"/>
    <w:rsid w:val="6C4E4249"/>
    <w:rsid w:val="6E506797"/>
    <w:rsid w:val="725744DB"/>
    <w:rsid w:val="7446505B"/>
    <w:rsid w:val="75621E7E"/>
    <w:rsid w:val="767B51B6"/>
    <w:rsid w:val="76EE0067"/>
    <w:rsid w:val="7A841738"/>
    <w:rsid w:val="7A9828C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kern w:val="0"/>
      <w:sz w:val="27"/>
      <w:szCs w:val="27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 w:afterAutospacing="0"/>
    </w:pPr>
    <w:rPr>
      <w:rFonts w:ascii="Calibri" w:hAnsi="Calibri" w:eastAsia="宋体" w:cs="Times New Roman"/>
    </w:rPr>
  </w:style>
  <w:style w:type="paragraph" w:styleId="3">
    <w:name w:val="Title"/>
    <w:basedOn w:val="1"/>
    <w:next w:val="1"/>
    <w:qFormat/>
    <w:uiPriority w:val="0"/>
    <w:pPr>
      <w:widowControl/>
      <w:spacing w:before="240" w:beforeLines="0" w:after="60" w:afterLines="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5">
    <w:name w:val="Normal Indent"/>
    <w:basedOn w:val="1"/>
    <w:qFormat/>
    <w:uiPriority w:val="0"/>
    <w:pPr>
      <w:spacing w:line="360" w:lineRule="auto"/>
      <w:ind w:firstLine="200" w:firstLineChars="200"/>
    </w:pPr>
    <w:rPr>
      <w:rFonts w:ascii="Times New Roman" w:hAnsi="Times New Roman"/>
      <w:sz w:val="24"/>
    </w:rPr>
  </w:style>
  <w:style w:type="paragraph" w:styleId="6">
    <w:name w:val="Plain Text"/>
    <w:basedOn w:val="1"/>
    <w:qFormat/>
    <w:uiPriority w:val="0"/>
    <w:rPr>
      <w:rFonts w:ascii="宋体" w:hAnsi="Courier New" w:eastAsia="宋体" w:cs="Courier New"/>
      <w:spacing w:val="0"/>
      <w:sz w:val="21"/>
      <w:szCs w:val="21"/>
    </w:rPr>
  </w:style>
  <w:style w:type="paragraph" w:styleId="7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1">
    <w:name w:val="页眉 Char"/>
    <w:basedOn w:val="10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10"/>
    <w:link w:val="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251</Words>
  <Characters>1437</Characters>
  <Lines>11</Lines>
  <Paragraphs>3</Paragraphs>
  <TotalTime>2</TotalTime>
  <ScaleCrop>false</ScaleCrop>
  <LinksUpToDate>false</LinksUpToDate>
  <CharactersWithSpaces>1685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2023-03-28T08:36:00Z</cp:lastPrinted>
  <dcterms:modified xsi:type="dcterms:W3CDTF">2024-04-02T02:56:02Z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516584B6012C43C199AFE7E679961055</vt:lpwstr>
  </property>
</Properties>
</file>