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2EA27">
      <w:pPr>
        <w:spacing w:line="560" w:lineRule="exact"/>
        <w:rPr>
          <w:rFonts w:hint="default" w:ascii="宋体" w:hAnsi="宋体" w:eastAsia="黑体"/>
          <w:b/>
          <w:sz w:val="32"/>
          <w:szCs w:val="32"/>
          <w:lang w:val="en-US" w:eastAsia="zh-CN"/>
        </w:rPr>
      </w:pPr>
      <w:r>
        <w:rPr>
          <w:rFonts w:hint="eastAsia" w:ascii="黑体" w:hAnsi="黑体" w:eastAsia="黑体"/>
          <w:color w:val="000000"/>
          <w:sz w:val="32"/>
          <w:szCs w:val="32"/>
        </w:rPr>
        <w:t>附件</w:t>
      </w:r>
      <w:r>
        <w:rPr>
          <w:rFonts w:hint="eastAsia" w:ascii="黑体" w:hAnsi="黑体" w:eastAsia="黑体"/>
          <w:color w:val="000000"/>
          <w:sz w:val="32"/>
          <w:szCs w:val="32"/>
          <w:lang w:val="en-US" w:eastAsia="zh-CN"/>
        </w:rPr>
        <w:t>4</w:t>
      </w:r>
    </w:p>
    <w:p w14:paraId="5900AEA7">
      <w:pPr>
        <w:jc w:val="center"/>
        <w:outlineLvl w:val="0"/>
        <w:rPr>
          <w:rFonts w:hint="eastAsia" w:ascii="方正小标宋简体" w:hAnsi="宋体" w:eastAsia="方正小标宋简体"/>
          <w:b/>
          <w:bCs/>
          <w:sz w:val="52"/>
          <w:szCs w:val="52"/>
        </w:rPr>
      </w:pPr>
      <w:r>
        <w:rPr>
          <w:rFonts w:hint="eastAsia" w:ascii="方正小标宋简体" w:hAnsi="宋体" w:eastAsia="方正小标宋简体"/>
          <w:b/>
          <w:bCs/>
          <w:sz w:val="52"/>
          <w:szCs w:val="52"/>
          <w:lang w:eastAsia="zh-CN"/>
        </w:rPr>
        <w:t>曲江区</w:t>
      </w:r>
      <w:r>
        <w:rPr>
          <w:rFonts w:hint="eastAsia" w:ascii="方正小标宋简体" w:hAnsi="宋体" w:eastAsia="方正小标宋简体"/>
          <w:b/>
          <w:bCs/>
          <w:sz w:val="52"/>
          <w:szCs w:val="52"/>
        </w:rPr>
        <w:t>绩效自评报告</w:t>
      </w:r>
    </w:p>
    <w:p w14:paraId="72205D01">
      <w:pPr>
        <w:jc w:val="center"/>
        <w:rPr>
          <w:rFonts w:hint="eastAsia" w:ascii="仿宋_GB2312" w:hAnsi="宋体" w:eastAsia="仿宋_GB2312"/>
          <w:sz w:val="32"/>
          <w:szCs w:val="32"/>
        </w:rPr>
      </w:pPr>
      <w:r>
        <w:rPr>
          <w:rFonts w:hint="eastAsia" w:ascii="仿宋_GB2312" w:hAnsi="宋体" w:eastAsia="仿宋_GB2312"/>
          <w:sz w:val="32"/>
          <w:szCs w:val="32"/>
        </w:rPr>
        <w:t>（20</w:t>
      </w:r>
      <w:r>
        <w:rPr>
          <w:rFonts w:hint="eastAsia" w:ascii="仿宋_GB2312" w:hAnsi="宋体" w:eastAsia="仿宋_GB2312"/>
          <w:sz w:val="32"/>
          <w:szCs w:val="32"/>
          <w:lang w:val="en-US" w:eastAsia="zh-CN"/>
        </w:rPr>
        <w:t>24</w:t>
      </w:r>
      <w:r>
        <w:rPr>
          <w:rFonts w:hint="eastAsia" w:ascii="仿宋_GB2312" w:hAnsi="宋体" w:eastAsia="仿宋_GB2312"/>
          <w:sz w:val="32"/>
          <w:szCs w:val="32"/>
        </w:rPr>
        <w:t>年度）</w:t>
      </w:r>
    </w:p>
    <w:p w14:paraId="5855A8BD">
      <w:pPr>
        <w:jc w:val="center"/>
        <w:rPr>
          <w:rFonts w:hint="eastAsia" w:ascii="仿宋_GB2312" w:hAnsi="宋体" w:eastAsia="仿宋_GB2312"/>
          <w:sz w:val="32"/>
          <w:szCs w:val="32"/>
        </w:rPr>
      </w:pPr>
    </w:p>
    <w:p w14:paraId="1EB8074D">
      <w:pPr>
        <w:spacing w:line="720" w:lineRule="auto"/>
        <w:ind w:firstLine="1440" w:firstLineChars="450"/>
        <w:rPr>
          <w:rFonts w:hint="eastAsia" w:ascii="仿宋_GB2312" w:hAnsi="宋体" w:eastAsia="仿宋_GB2312"/>
          <w:sz w:val="32"/>
        </w:rPr>
      </w:pPr>
    </w:p>
    <w:p w14:paraId="74D8C653">
      <w:pPr>
        <w:spacing w:line="720" w:lineRule="auto"/>
        <w:ind w:firstLine="1440" w:firstLineChars="450"/>
        <w:rPr>
          <w:rFonts w:hint="eastAsia" w:ascii="仿宋_GB2312" w:hAnsi="宋体" w:eastAsia="仿宋_GB2312"/>
          <w:sz w:val="32"/>
          <w:lang w:val="en-US" w:eastAsia="zh-CN"/>
        </w:rPr>
      </w:pPr>
      <w:r>
        <w:rPr>
          <w:rFonts w:hint="eastAsia" w:ascii="仿宋_GB2312" w:hAnsi="宋体" w:eastAsia="仿宋_GB2312"/>
          <w:sz w:val="32"/>
          <w:lang w:eastAsia="zh-CN"/>
        </w:rPr>
        <w:t>评价类型：</w:t>
      </w:r>
      <w:r>
        <w:rPr>
          <w:rFonts w:hint="eastAsia" w:ascii="仿宋_GB2312" w:hAnsi="宋体" w:eastAsia="仿宋_GB2312"/>
          <w:sz w:val="32"/>
          <w:lang w:val="en-US" w:eastAsia="zh-CN"/>
        </w:rPr>
        <w:t xml:space="preserve"> 项目实施过程评价 </w:t>
      </w:r>
      <w:r>
        <w:rPr>
          <w:rFonts w:hint="eastAsia" w:ascii="仿宋_GB2312" w:hAnsi="宋体" w:eastAsia="仿宋_GB2312"/>
          <w:sz w:val="32"/>
          <w:lang w:val="en-US" w:eastAsia="zh-CN"/>
        </w:rPr>
        <w:sym w:font="Wingdings 2" w:char="00A3"/>
      </w:r>
    </w:p>
    <w:p w14:paraId="2EC40C30">
      <w:pPr>
        <w:spacing w:line="720" w:lineRule="auto"/>
        <w:ind w:firstLine="1440" w:firstLineChars="450"/>
        <w:rPr>
          <w:rFonts w:hint="eastAsia" w:ascii="仿宋_GB2312" w:hAnsi="宋体" w:eastAsia="仿宋_GB2312"/>
          <w:sz w:val="32"/>
          <w:lang w:val="en-US" w:eastAsia="zh-CN"/>
        </w:rPr>
      </w:pPr>
      <w:r>
        <w:rPr>
          <w:rFonts w:hint="eastAsia" w:ascii="仿宋_GB2312" w:hAnsi="宋体" w:eastAsia="仿宋_GB2312"/>
          <w:sz w:val="32"/>
          <w:lang w:val="en-US" w:eastAsia="zh-CN"/>
        </w:rPr>
        <w:t xml:space="preserve">           项目完成结果评价 </w:t>
      </w:r>
      <w:r>
        <w:rPr>
          <w:rFonts w:hint="eastAsia" w:ascii="仿宋_GB2312" w:hAnsi="宋体" w:eastAsia="仿宋_GB2312"/>
          <w:sz w:val="32"/>
          <w:lang w:val="en-US" w:eastAsia="zh-CN"/>
        </w:rPr>
        <w:sym w:font="Wingdings 2" w:char="0052"/>
      </w:r>
    </w:p>
    <w:p w14:paraId="16926298">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0" w:firstLineChars="450"/>
        <w:textAlignment w:val="auto"/>
        <w:outlineLvl w:val="9"/>
        <w:rPr>
          <w:rFonts w:hint="eastAsia" w:ascii="仿宋_GB2312" w:hAnsi="宋体" w:eastAsia="仿宋_GB2312"/>
          <w:sz w:val="32"/>
        </w:rPr>
      </w:pPr>
      <w:r>
        <w:rPr>
          <w:rFonts w:hint="eastAsia" w:ascii="仿宋_GB2312" w:hAnsi="宋体" w:eastAsia="仿宋_GB2312"/>
          <w:sz w:val="32"/>
        </w:rPr>
        <w:t>项目名称：</w:t>
      </w:r>
      <w:r>
        <w:rPr>
          <w:rFonts w:hint="eastAsia" w:eastAsia="仿宋_GB2312"/>
          <w:sz w:val="32"/>
          <w:szCs w:val="32"/>
          <w:lang w:val="en-US" w:eastAsia="zh-CN"/>
        </w:rPr>
        <w:t>2024年度农村二女结扎夫妇社会养老保险</w:t>
      </w:r>
    </w:p>
    <w:p w14:paraId="5F669F5B">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9" w:firstLineChars="453"/>
        <w:textAlignment w:val="auto"/>
        <w:outlineLvl w:val="9"/>
        <w:rPr>
          <w:rFonts w:hint="eastAsia" w:ascii="仿宋_GB2312" w:hAnsi="宋体" w:eastAsia="仿宋_GB2312"/>
          <w:sz w:val="32"/>
        </w:rPr>
      </w:pPr>
      <w:r>
        <w:rPr>
          <w:rFonts w:hint="eastAsia" w:ascii="仿宋_GB2312" w:hAnsi="宋体" w:eastAsia="仿宋_GB2312"/>
          <w:sz w:val="32"/>
        </w:rPr>
        <w:t>项目单位：（公章）</w:t>
      </w:r>
      <w:r>
        <w:rPr>
          <w:rFonts w:hint="eastAsia" w:ascii="仿宋_GB2312" w:hAnsi="宋体" w:eastAsia="仿宋_GB2312"/>
          <w:sz w:val="32"/>
          <w:lang w:eastAsia="zh-CN"/>
        </w:rPr>
        <w:t>韶关市曲江区卫生健康局</w:t>
      </w:r>
    </w:p>
    <w:p w14:paraId="48B7FFAB">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9" w:firstLineChars="453"/>
        <w:textAlignment w:val="auto"/>
        <w:outlineLvl w:val="9"/>
        <w:rPr>
          <w:rFonts w:hint="eastAsia" w:ascii="仿宋_GB2312" w:hAnsi="宋体" w:eastAsia="仿宋_GB2312"/>
          <w:sz w:val="32"/>
          <w:lang w:val="en-US" w:eastAsia="zh-CN"/>
        </w:rPr>
      </w:pPr>
      <w:r>
        <w:rPr>
          <w:rFonts w:hint="eastAsia" w:ascii="仿宋_GB2312" w:hAnsi="宋体" w:eastAsia="仿宋_GB2312"/>
          <w:sz w:val="32"/>
        </w:rPr>
        <w:t>填报人姓名：</w:t>
      </w:r>
      <w:r>
        <w:rPr>
          <w:rFonts w:hint="eastAsia" w:ascii="仿宋_GB2312" w:hAnsi="宋体" w:eastAsia="仿宋_GB2312"/>
          <w:sz w:val="32"/>
          <w:lang w:eastAsia="zh-CN"/>
        </w:rPr>
        <w:t>邱娟</w:t>
      </w:r>
    </w:p>
    <w:p w14:paraId="512DBE27">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9" w:firstLineChars="453"/>
        <w:textAlignment w:val="auto"/>
        <w:outlineLvl w:val="9"/>
        <w:rPr>
          <w:rFonts w:hint="default" w:ascii="仿宋_GB2312" w:hAnsi="宋体" w:eastAsia="仿宋_GB2312"/>
          <w:sz w:val="32"/>
          <w:lang w:val="en-US" w:eastAsia="zh-CN"/>
        </w:rPr>
      </w:pPr>
      <w:r>
        <w:rPr>
          <w:rFonts w:hint="eastAsia" w:ascii="仿宋_GB2312" w:hAnsi="宋体" w:eastAsia="仿宋_GB2312"/>
          <w:sz w:val="32"/>
        </w:rPr>
        <w:t>联系电话：</w:t>
      </w:r>
      <w:r>
        <w:rPr>
          <w:rFonts w:hint="eastAsia" w:ascii="仿宋_GB2312" w:hAnsi="宋体" w:eastAsia="仿宋_GB2312"/>
          <w:sz w:val="32"/>
          <w:lang w:val="en-US" w:eastAsia="zh-CN"/>
        </w:rPr>
        <w:t>6692610</w:t>
      </w:r>
    </w:p>
    <w:p w14:paraId="3DAF9B47">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9" w:firstLineChars="453"/>
        <w:textAlignment w:val="auto"/>
        <w:outlineLvl w:val="9"/>
        <w:rPr>
          <w:rFonts w:hint="default" w:ascii="仿宋_GB2312" w:hAnsi="宋体" w:eastAsia="仿宋_GB2312"/>
          <w:sz w:val="32"/>
          <w:lang w:val="en-US" w:eastAsia="zh-CN"/>
        </w:rPr>
      </w:pPr>
      <w:r>
        <w:rPr>
          <w:rFonts w:hint="eastAsia" w:ascii="仿宋_GB2312" w:hAnsi="宋体" w:eastAsia="仿宋_GB2312"/>
          <w:sz w:val="32"/>
        </w:rPr>
        <w:t>填报日期：</w:t>
      </w:r>
      <w:r>
        <w:rPr>
          <w:rFonts w:hint="eastAsia" w:ascii="仿宋_GB2312" w:hAnsi="宋体" w:eastAsia="仿宋_GB2312"/>
          <w:sz w:val="32"/>
          <w:lang w:val="en-US" w:eastAsia="zh-CN"/>
        </w:rPr>
        <w:t>2025年4月7日</w:t>
      </w:r>
    </w:p>
    <w:p w14:paraId="3803BCCE">
      <w:pPr>
        <w:spacing w:line="240" w:lineRule="auto"/>
        <w:ind w:firstLine="1449" w:firstLineChars="453"/>
        <w:rPr>
          <w:rFonts w:hint="eastAsia" w:ascii="仿宋_GB2312" w:hAnsi="宋体" w:eastAsia="仿宋_GB2312"/>
          <w:sz w:val="32"/>
          <w:u w:val="single"/>
        </w:rPr>
      </w:pPr>
    </w:p>
    <w:p w14:paraId="2D964D1B">
      <w:pPr>
        <w:jc w:val="center"/>
        <w:rPr>
          <w:rFonts w:hint="eastAsia" w:ascii="宋体" w:hAnsi="宋体" w:cs="宋体"/>
          <w:sz w:val="44"/>
          <w:szCs w:val="44"/>
          <w:lang w:val="en-US" w:eastAsia="zh-CN"/>
        </w:rPr>
      </w:pPr>
    </w:p>
    <w:p w14:paraId="3019FF19">
      <w:pPr>
        <w:jc w:val="center"/>
        <w:rPr>
          <w:rFonts w:hint="eastAsia" w:ascii="仿宋_GB2312" w:hAnsi="仿宋_GB2312" w:eastAsia="仿宋_GB2312" w:cs="仿宋_GB2312"/>
          <w:b/>
          <w:sz w:val="44"/>
          <w:szCs w:val="44"/>
        </w:rPr>
      </w:pPr>
      <w:r>
        <w:rPr>
          <w:rFonts w:hint="eastAsia" w:ascii="仿宋_GB2312" w:hAnsi="仿宋_GB2312" w:eastAsia="仿宋_GB2312" w:cs="仿宋_GB2312"/>
          <w:sz w:val="44"/>
          <w:szCs w:val="44"/>
          <w:lang w:eastAsia="zh-CN"/>
        </w:rPr>
        <w:t>曲江区</w:t>
      </w:r>
      <w:r>
        <w:rPr>
          <w:rFonts w:hint="eastAsia" w:ascii="仿宋_GB2312" w:hAnsi="仿宋_GB2312" w:eastAsia="仿宋_GB2312" w:cs="仿宋_GB2312"/>
          <w:sz w:val="44"/>
          <w:szCs w:val="44"/>
          <w:lang w:val="en-US" w:eastAsia="zh-CN"/>
        </w:rPr>
        <w:t>2024年度</w:t>
      </w:r>
      <w:r>
        <w:rPr>
          <w:rFonts w:hint="eastAsia" w:ascii="仿宋_GB2312" w:hAnsi="仿宋_GB2312" w:eastAsia="仿宋_GB2312" w:cs="仿宋_GB2312"/>
          <w:sz w:val="44"/>
          <w:szCs w:val="44"/>
        </w:rPr>
        <w:t>绩效自评报告</w:t>
      </w:r>
    </w:p>
    <w:p w14:paraId="455118FD">
      <w:pPr>
        <w:spacing w:line="360" w:lineRule="auto"/>
        <w:ind w:firstLine="640" w:firstLineChars="200"/>
        <w:rPr>
          <w:rFonts w:hint="eastAsia" w:ascii="仿宋_GB2312" w:hAnsi="仿宋_GB2312" w:eastAsia="仿宋_GB2312"/>
          <w:sz w:val="32"/>
          <w:szCs w:val="32"/>
        </w:rPr>
      </w:pPr>
    </w:p>
    <w:p w14:paraId="0FDED274">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一、项目基本情况及自评结论</w:t>
      </w:r>
    </w:p>
    <w:p w14:paraId="42B265B5">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一</w:t>
      </w:r>
      <w:r>
        <w:rPr>
          <w:rFonts w:hint="eastAsia" w:ascii="仿宋_GB2312" w:hAnsi="仿宋_GB2312" w:eastAsia="仿宋_GB2312"/>
          <w:sz w:val="32"/>
          <w:szCs w:val="32"/>
        </w:rPr>
        <w:t>）项目</w:t>
      </w:r>
      <w:r>
        <w:rPr>
          <w:rFonts w:hint="eastAsia" w:ascii="仿宋_GB2312" w:hAnsi="仿宋_GB2312" w:eastAsia="仿宋_GB2312"/>
          <w:sz w:val="32"/>
          <w:szCs w:val="32"/>
          <w:lang w:eastAsia="zh-CN"/>
        </w:rPr>
        <w:t>基本情况</w:t>
      </w:r>
      <w:r>
        <w:rPr>
          <w:rFonts w:hint="eastAsia" w:ascii="仿宋_GB2312" w:hAnsi="仿宋_GB2312" w:eastAsia="仿宋_GB2312"/>
          <w:sz w:val="32"/>
          <w:szCs w:val="32"/>
        </w:rPr>
        <w:t>。</w:t>
      </w:r>
    </w:p>
    <w:p w14:paraId="24427FA8">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根据《关于印发曲江区农村二女结扎夫妇社会养老保险实施意见的通知》（韶曲府办[2010]103号文）的文件精神，2024年下达我区农村二女结扎夫妇社会养老保险金38.322</w:t>
      </w:r>
      <w:bookmarkStart w:id="0" w:name="_GoBack"/>
      <w:bookmarkEnd w:id="0"/>
      <w:r>
        <w:rPr>
          <w:rFonts w:hint="eastAsia" w:ascii="仿宋_GB2312" w:hAnsi="仿宋_GB2312" w:eastAsia="仿宋_GB2312"/>
          <w:sz w:val="32"/>
          <w:szCs w:val="32"/>
          <w:lang w:val="en-US" w:eastAsia="zh-CN"/>
        </w:rPr>
        <w:t>万元。农村二女结扎夫妇社会养老保险是让诚信遵守计划生育政策的夫妇优先享受改革开放的成果，使其老有所得、老有所养，进一步形成实行计划生育光荣的时代风尚，推动我区人口和计划生育事业持续稳定健康发展。</w:t>
      </w:r>
    </w:p>
    <w:p w14:paraId="1AA5F952">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我区计划生育协会于2024年7月下发了关于做好2024年曲江区农村二女结扎夫妇社会养老保险申报工作的通知，要求各镇街加大计划生育利益导向的宣传力度，营造浓厚的宣传氛围，切实将农村二女结扎夫妇社会养老保险宣传工作做好、做实，切实感受到养老保险不仅是一份保障，更多的是党委、政府的关怀关爱。新增对象经过审核和公示，同时对历年续保对象的核查，最终全区续保的有1978人，新增的有48人，按照2024年新型农村社会养老保险缴费标准按每人每年180元计算，2024年农村二女结扎夫妇社会养老保险金额应拨38.322万元，实拨35.568万元。</w:t>
      </w:r>
    </w:p>
    <w:p w14:paraId="75085C47">
      <w:pPr>
        <w:spacing w:line="360" w:lineRule="auto"/>
        <w:ind w:firstLine="640" w:firstLineChars="200"/>
        <w:rPr>
          <w:rFonts w:hint="default" w:ascii="仿宋_GB2312" w:hAnsi="仿宋_GB2312" w:eastAsia="仿宋_GB2312"/>
          <w:sz w:val="32"/>
          <w:szCs w:val="32"/>
          <w:lang w:val="en-US" w:eastAsia="zh-CN"/>
        </w:rPr>
      </w:pPr>
    </w:p>
    <w:p w14:paraId="448C7730">
      <w:pPr>
        <w:numPr>
          <w:ilvl w:val="0"/>
          <w:numId w:val="1"/>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项目自评</w:t>
      </w:r>
      <w:r>
        <w:rPr>
          <w:rFonts w:hint="eastAsia" w:ascii="仿宋_GB2312" w:hAnsi="仿宋_GB2312" w:eastAsia="仿宋_GB2312"/>
          <w:sz w:val="32"/>
          <w:szCs w:val="32"/>
          <w:lang w:eastAsia="zh-CN"/>
        </w:rPr>
        <w:t>情况</w:t>
      </w:r>
      <w:r>
        <w:rPr>
          <w:rFonts w:hint="eastAsia" w:ascii="仿宋_GB2312" w:hAnsi="仿宋_GB2312" w:eastAsia="仿宋_GB2312"/>
          <w:sz w:val="32"/>
          <w:szCs w:val="32"/>
        </w:rPr>
        <w:t>。</w:t>
      </w:r>
    </w:p>
    <w:p w14:paraId="63424220">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自开展为农村二女结扎夫妇社会养老保险以来，对申请购买农村二女结扎夫妇社会养老保险的对象，严格把关，严格按照相关支出严格执行相关部门的费用标准规范支出，没有超范围、超标准支出、虚列支出，截留、挤占、挪用专项资金的现象。</w:t>
      </w:r>
    </w:p>
    <w:p w14:paraId="67A81EF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0FE30"/>
    <w:multiLevelType w:val="singleLevel"/>
    <w:tmpl w:val="3720FE3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zNWY1ZGMzMTllZGMxOTk4NzA4NzRhMzQ4NTFhZDMifQ=="/>
  </w:docVars>
  <w:rsids>
    <w:rsidRoot w:val="6A617773"/>
    <w:rsid w:val="6A617773"/>
    <w:rsid w:val="7C510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4</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2025-04-16T00:54:00Z</dcterms:created>
  <dc:creator>Administrator</dc:creator>
  <cp:lastModifiedBy>Administrator</cp:lastModifiedBy>
  <dcterms:modified xsi:type="dcterms:W3CDTF">2025-04-16T01:09:16Z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005DC5CE03664F7397EA036802D0A2C0_11</vt:lpwstr>
  </property>
</Properties>
</file>