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3D03EC">
      <w:pPr>
        <w:ind w:firstLine="0" w:firstLineChars="0"/>
        <w:jc w:val="left"/>
        <w:rPr>
          <w:rFonts w:hint="eastAsia"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rPr>
        <w:t>附件</w:t>
      </w:r>
      <w:r>
        <w:rPr>
          <w:rFonts w:hint="eastAsia" w:eastAsia="黑体" w:cs="Times New Roman"/>
          <w:sz w:val="32"/>
          <w:szCs w:val="32"/>
          <w:highlight w:val="none"/>
          <w:lang w:val="en-US" w:eastAsia="zh-CN"/>
        </w:rPr>
        <w:t>1</w:t>
      </w:r>
      <w:bookmarkStart w:id="0" w:name="_GoBack"/>
      <w:bookmarkEnd w:id="0"/>
    </w:p>
    <w:p w14:paraId="194D10CD">
      <w:pPr>
        <w:ind w:firstLine="0" w:firstLineChars="0"/>
        <w:jc w:val="center"/>
        <w:rPr>
          <w:rFonts w:hint="default" w:ascii="Times New Roman" w:hAnsi="Times New Roman" w:eastAsia="黑体" w:cs="Times New Roman"/>
          <w:sz w:val="36"/>
          <w:szCs w:val="32"/>
          <w:highlight w:val="none"/>
        </w:rPr>
      </w:pPr>
      <w:r>
        <w:rPr>
          <w:rFonts w:hint="eastAsia" w:eastAsia="黑体" w:cs="Times New Roman"/>
          <w:sz w:val="36"/>
          <w:szCs w:val="32"/>
          <w:highlight w:val="none"/>
          <w:lang w:val="en-US" w:eastAsia="zh-CN"/>
        </w:rPr>
        <w:t>韶关市曲江区2024</w:t>
      </w:r>
      <w:r>
        <w:rPr>
          <w:rFonts w:hint="default" w:ascii="Times New Roman" w:hAnsi="Times New Roman" w:eastAsia="黑体" w:cs="Times New Roman"/>
          <w:sz w:val="36"/>
          <w:szCs w:val="32"/>
          <w:highlight w:val="none"/>
        </w:rPr>
        <w:t>年度水利发展资金绩效自评报告</w:t>
      </w:r>
    </w:p>
    <w:p w14:paraId="08CDCB18">
      <w:pPr>
        <w:keepNext/>
        <w:keepLines/>
        <w:pageBreakBefore w:val="0"/>
        <w:widowControl/>
        <w:kinsoku/>
        <w:wordWrap/>
        <w:overflowPunct/>
        <w:topLinePunct w:val="0"/>
        <w:autoSpaceDE/>
        <w:autoSpaceDN/>
        <w:bidi w:val="0"/>
        <w:adjustRightInd/>
        <w:snapToGrid/>
        <w:spacing w:line="360" w:lineRule="auto"/>
        <w:ind w:firstLine="641" w:firstLineChars="0"/>
        <w:jc w:val="center"/>
        <w:textAlignment w:val="auto"/>
        <w:outlineLvl w:val="9"/>
        <w:rPr>
          <w:rFonts w:hint="eastAsia" w:ascii="Times New Roman" w:hAnsi="Times New Roman" w:eastAsia="仿宋_GB2312" w:cs="Times New Roman"/>
          <w:b w:val="0"/>
          <w:bCs w:val="0"/>
          <w:color w:val="0070C0"/>
          <w:kern w:val="44"/>
          <w:sz w:val="32"/>
          <w:szCs w:val="44"/>
          <w:highlight w:val="none"/>
          <w:lang w:val="en-US" w:eastAsia="zh-CN" w:bidi="ar-SA"/>
        </w:rPr>
      </w:pPr>
    </w:p>
    <w:p w14:paraId="331610CA">
      <w:pPr>
        <w:pStyle w:val="3"/>
        <w:pageBreakBefore w:val="0"/>
        <w:widowControl/>
        <w:numPr>
          <w:ilvl w:val="0"/>
          <w:numId w:val="1"/>
        </w:numPr>
        <w:kinsoku/>
        <w:wordWrap/>
        <w:overflowPunct/>
        <w:topLinePunct w:val="0"/>
        <w:autoSpaceDE/>
        <w:autoSpaceDN/>
        <w:bidi w:val="0"/>
        <w:adjustRightInd/>
        <w:snapToGrid/>
        <w:spacing w:line="360" w:lineRule="auto"/>
        <w:ind w:firstLine="640"/>
        <w:textAlignment w:val="auto"/>
        <w:rPr>
          <w:rFonts w:hint="default" w:ascii="Times New Roman" w:hAnsi="Times New Roman" w:eastAsia="黑体" w:cs="Times New Roman"/>
          <w:b w:val="0"/>
          <w:bCs w:val="0"/>
          <w:sz w:val="32"/>
          <w:highlight w:val="none"/>
        </w:rPr>
      </w:pPr>
      <w:r>
        <w:rPr>
          <w:rFonts w:hint="default" w:ascii="Times New Roman" w:hAnsi="Times New Roman" w:eastAsia="黑体" w:cs="Times New Roman"/>
          <w:b w:val="0"/>
          <w:bCs w:val="0"/>
          <w:sz w:val="32"/>
          <w:highlight w:val="none"/>
        </w:rPr>
        <w:t>年度绩效管理总体情况</w:t>
      </w:r>
    </w:p>
    <w:p w14:paraId="7C2E7B22">
      <w:pPr>
        <w:pStyle w:val="4"/>
        <w:keepNext/>
        <w:keepLines/>
        <w:pageBreakBefore w:val="0"/>
        <w:widowControl/>
        <w:kinsoku/>
        <w:wordWrap/>
        <w:overflowPunct/>
        <w:topLinePunct w:val="0"/>
        <w:autoSpaceDE/>
        <w:autoSpaceDN/>
        <w:bidi w:val="0"/>
        <w:adjustRightInd/>
        <w:snapToGrid/>
        <w:spacing w:line="360" w:lineRule="auto"/>
        <w:ind w:firstLine="643"/>
        <w:textAlignment w:val="auto"/>
        <w:rPr>
          <w:rFonts w:hint="default" w:ascii="Times New Roman" w:hAnsi="Times New Roman" w:eastAsia="楷体_GB2312" w:cs="Times New Roman"/>
          <w:b/>
          <w:bCs w:val="0"/>
          <w:sz w:val="32"/>
          <w:highlight w:val="none"/>
        </w:rPr>
      </w:pPr>
      <w:r>
        <w:rPr>
          <w:rFonts w:hint="default" w:ascii="Times New Roman" w:hAnsi="Times New Roman" w:eastAsia="楷体_GB2312" w:cs="Times New Roman"/>
          <w:b/>
          <w:bCs w:val="0"/>
          <w:sz w:val="32"/>
          <w:highlight w:val="none"/>
        </w:rPr>
        <w:t>（一）中央下达水利发展资金预算和绩效目标情况</w:t>
      </w:r>
    </w:p>
    <w:p w14:paraId="20D7DA09">
      <w:pPr>
        <w:keepNext w:val="0"/>
        <w:keepLines w:val="0"/>
        <w:widowControl/>
        <w:suppressLineNumbers w:val="0"/>
        <w:jc w:val="left"/>
        <w:rPr>
          <w:rFonts w:hint="eastAsia" w:ascii="Times New Roman" w:hAnsi="Times New Roman" w:cs="Times New Roman"/>
          <w:sz w:val="32"/>
          <w:highlight w:val="none"/>
        </w:rPr>
      </w:pPr>
      <w:r>
        <w:rPr>
          <w:rFonts w:hint="eastAsia" w:ascii="Times New Roman" w:hAnsi="Times New Roman" w:cs="Times New Roman"/>
          <w:sz w:val="32"/>
          <w:highlight w:val="none"/>
          <w:lang w:val="en-US" w:eastAsia="zh-CN"/>
        </w:rPr>
        <w:t>根</w:t>
      </w:r>
      <w:r>
        <w:rPr>
          <w:rFonts w:hint="eastAsia" w:ascii="Times New Roman" w:hAnsi="Times New Roman" w:cs="Times New Roman"/>
          <w:sz w:val="32"/>
          <w:highlight w:val="none"/>
        </w:rPr>
        <w:t>据《</w:t>
      </w:r>
      <w:r>
        <w:rPr>
          <w:rFonts w:hint="eastAsia" w:ascii="Times New Roman" w:hAnsi="Times New Roman" w:cs="Times New Roman"/>
          <w:color w:val="auto"/>
          <w:sz w:val="32"/>
          <w:highlight w:val="none"/>
          <w:u w:val="single"/>
        </w:rPr>
        <w:t>关于提前下达2024年中央水利发展资金预算的通知</w:t>
      </w:r>
      <w:r>
        <w:rPr>
          <w:rFonts w:hint="eastAsia" w:ascii="Times New Roman" w:hAnsi="Times New Roman" w:cs="Times New Roman"/>
          <w:sz w:val="32"/>
          <w:highlight w:val="none"/>
        </w:rPr>
        <w:t>》（</w:t>
      </w:r>
      <w:r>
        <w:rPr>
          <w:rFonts w:hint="eastAsia" w:ascii="Times New Roman" w:hAnsi="Times New Roman" w:cs="Times New Roman"/>
          <w:color w:val="auto"/>
          <w:sz w:val="32"/>
          <w:highlight w:val="none"/>
          <w:u w:val="single"/>
        </w:rPr>
        <w:t>韶财农〔2023〕114号</w:t>
      </w:r>
      <w:r>
        <w:rPr>
          <w:rFonts w:hint="eastAsia" w:ascii="Times New Roman" w:hAnsi="Times New Roman" w:cs="Times New Roman"/>
          <w:sz w:val="32"/>
          <w:highlight w:val="none"/>
        </w:rPr>
        <w:t>）</w:t>
      </w:r>
      <w:r>
        <w:rPr>
          <w:rFonts w:hint="eastAsia" w:cs="Times New Roman"/>
          <w:sz w:val="32"/>
          <w:highlight w:val="none"/>
          <w:lang w:eastAsia="zh-CN"/>
        </w:rPr>
        <w:t>、</w:t>
      </w:r>
      <w:r>
        <w:rPr>
          <w:rFonts w:hint="eastAsia" w:ascii="Times New Roman" w:hAnsi="Times New Roman" w:cs="Times New Roman"/>
          <w:sz w:val="32"/>
          <w:highlight w:val="none"/>
        </w:rPr>
        <w:t>《</w:t>
      </w:r>
      <w:r>
        <w:rPr>
          <w:rFonts w:hint="eastAsia" w:ascii="Times New Roman" w:hAnsi="Times New Roman" w:cs="Times New Roman"/>
          <w:color w:val="auto"/>
          <w:sz w:val="32"/>
          <w:highlight w:val="none"/>
          <w:u w:val="single"/>
          <w:lang w:val="en-US" w:eastAsia="zh-CN"/>
        </w:rPr>
        <w:t>关于下达 2024 年中央水利发展资金预算的通知</w:t>
      </w:r>
      <w:r>
        <w:rPr>
          <w:rFonts w:hint="eastAsia" w:ascii="Times New Roman" w:hAnsi="Times New Roman" w:cs="Times New Roman"/>
          <w:sz w:val="32"/>
          <w:highlight w:val="none"/>
        </w:rPr>
        <w:t>》（</w:t>
      </w:r>
      <w:r>
        <w:rPr>
          <w:rFonts w:hint="eastAsia" w:ascii="Times New Roman" w:hAnsi="Times New Roman" w:cs="Times New Roman"/>
          <w:color w:val="auto"/>
          <w:sz w:val="32"/>
          <w:highlight w:val="none"/>
          <w:u w:val="single"/>
        </w:rPr>
        <w:t>韶财农〔202</w:t>
      </w:r>
      <w:r>
        <w:rPr>
          <w:rFonts w:hint="eastAsia" w:cs="Times New Roman"/>
          <w:color w:val="auto"/>
          <w:sz w:val="32"/>
          <w:highlight w:val="none"/>
          <w:u w:val="single"/>
          <w:lang w:val="en-US" w:eastAsia="zh-CN"/>
        </w:rPr>
        <w:t>4</w:t>
      </w:r>
      <w:r>
        <w:rPr>
          <w:rFonts w:hint="eastAsia" w:ascii="Times New Roman" w:hAnsi="Times New Roman" w:cs="Times New Roman"/>
          <w:color w:val="auto"/>
          <w:sz w:val="32"/>
          <w:highlight w:val="none"/>
          <w:u w:val="single"/>
        </w:rPr>
        <w:t>〕</w:t>
      </w:r>
      <w:r>
        <w:rPr>
          <w:rFonts w:hint="eastAsia" w:cs="Times New Roman"/>
          <w:color w:val="auto"/>
          <w:sz w:val="32"/>
          <w:highlight w:val="none"/>
          <w:u w:val="single"/>
          <w:lang w:val="en-US" w:eastAsia="zh-CN"/>
        </w:rPr>
        <w:t>6</w:t>
      </w:r>
      <w:r>
        <w:rPr>
          <w:rFonts w:hint="eastAsia" w:ascii="Times New Roman" w:hAnsi="Times New Roman" w:cs="Times New Roman"/>
          <w:color w:val="auto"/>
          <w:sz w:val="32"/>
          <w:highlight w:val="none"/>
          <w:u w:val="single"/>
        </w:rPr>
        <w:t>号</w:t>
      </w:r>
      <w:r>
        <w:rPr>
          <w:rFonts w:hint="eastAsia" w:ascii="Times New Roman" w:hAnsi="Times New Roman" w:cs="Times New Roman"/>
          <w:sz w:val="32"/>
          <w:highlight w:val="none"/>
        </w:rPr>
        <w:t>），</w:t>
      </w:r>
      <w:r>
        <w:rPr>
          <w:rFonts w:hint="eastAsia" w:cs="Times New Roman"/>
          <w:sz w:val="32"/>
          <w:highlight w:val="none"/>
          <w:lang w:val="en-US" w:eastAsia="zh-CN"/>
        </w:rPr>
        <w:t>2024</w:t>
      </w:r>
      <w:r>
        <w:rPr>
          <w:rFonts w:hint="eastAsia" w:ascii="Times New Roman" w:hAnsi="Times New Roman" w:cs="Times New Roman"/>
          <w:sz w:val="32"/>
          <w:highlight w:val="none"/>
        </w:rPr>
        <w:t>年中央水利发展资金下达</w:t>
      </w:r>
      <w:r>
        <w:rPr>
          <w:rFonts w:hint="eastAsia" w:ascii="Times New Roman" w:hAnsi="Times New Roman" w:cs="Times New Roman"/>
          <w:sz w:val="32"/>
          <w:highlight w:val="none"/>
          <w:u w:val="single"/>
        </w:rPr>
        <w:t>韶关市曲江区</w:t>
      </w:r>
      <w:r>
        <w:rPr>
          <w:rFonts w:hint="eastAsia" w:ascii="Times New Roman" w:hAnsi="Times New Roman" w:cs="Times New Roman"/>
          <w:sz w:val="32"/>
          <w:highlight w:val="none"/>
        </w:rPr>
        <w:t>的资金预算为95万元。</w:t>
      </w:r>
    </w:p>
    <w:p w14:paraId="5CEFA3AA">
      <w:pPr>
        <w:ind w:firstLine="640"/>
        <w:rPr>
          <w:rFonts w:hint="eastAsia" w:ascii="Times New Roman" w:hAnsi="Times New Roman" w:cs="Times New Roman"/>
          <w:sz w:val="32"/>
          <w:highlight w:val="none"/>
        </w:rPr>
      </w:pPr>
      <w:r>
        <w:rPr>
          <w:rFonts w:hint="eastAsia" w:ascii="Times New Roman" w:hAnsi="Times New Roman" w:cs="Times New Roman"/>
          <w:sz w:val="32"/>
          <w:highlight w:val="none"/>
          <w:u w:val="single"/>
        </w:rPr>
        <w:t>韶关市曲江区的</w:t>
      </w:r>
      <w:r>
        <w:rPr>
          <w:rFonts w:hint="eastAsia" w:ascii="Times New Roman" w:hAnsi="Times New Roman" w:cs="Times New Roman"/>
          <w:sz w:val="32"/>
          <w:highlight w:val="none"/>
        </w:rPr>
        <w:t>绩效目标为：</w:t>
      </w:r>
    </w:p>
    <w:p w14:paraId="270C5554">
      <w:pPr>
        <w:widowControl w:val="0"/>
        <w:ind w:firstLine="640"/>
        <w:outlineLvl w:val="2"/>
        <w:rPr>
          <w:rFonts w:hint="eastAsia" w:ascii="Times New Roman" w:hAnsi="Times New Roman" w:cs="Times New Roman"/>
          <w:b/>
          <w:bCs/>
          <w:sz w:val="32"/>
          <w:szCs w:val="32"/>
          <w:highlight w:val="none"/>
          <w:lang w:val="en-US" w:eastAsia="zh-CN"/>
        </w:rPr>
      </w:pPr>
      <w:r>
        <w:rPr>
          <w:rFonts w:hint="eastAsia" w:ascii="Times New Roman" w:hAnsi="Times New Roman" w:cs="Times New Roman"/>
          <w:b/>
          <w:bCs/>
          <w:sz w:val="32"/>
          <w:szCs w:val="32"/>
          <w:highlight w:val="none"/>
          <w:lang w:val="en-US" w:eastAsia="zh-CN"/>
        </w:rPr>
        <w:t>1</w:t>
      </w:r>
      <w:r>
        <w:rPr>
          <w:rFonts w:hint="eastAsia" w:cs="Times New Roman"/>
          <w:b/>
          <w:bCs/>
          <w:sz w:val="32"/>
          <w:szCs w:val="32"/>
          <w:highlight w:val="none"/>
          <w:lang w:val="en-US" w:eastAsia="zh-CN"/>
        </w:rPr>
        <w:t>.</w:t>
      </w:r>
      <w:r>
        <w:rPr>
          <w:rFonts w:hint="eastAsia" w:ascii="Times New Roman" w:hAnsi="Times New Roman" w:cs="Times New Roman"/>
          <w:b/>
          <w:bCs/>
          <w:sz w:val="32"/>
          <w:szCs w:val="32"/>
          <w:highlight w:val="none"/>
          <w:lang w:val="en-US" w:eastAsia="zh-CN"/>
        </w:rPr>
        <w:t>产出指标</w:t>
      </w:r>
    </w:p>
    <w:p w14:paraId="1C70711C">
      <w:pPr>
        <w:ind w:firstLine="640"/>
        <w:rPr>
          <w:rFonts w:hint="eastAsia" w:cs="Times New Roman"/>
          <w:sz w:val="32"/>
          <w:highlight w:val="none"/>
          <w:lang w:val="en-US" w:eastAsia="zh-CN"/>
        </w:rPr>
      </w:pPr>
      <w:r>
        <w:rPr>
          <w:rFonts w:hint="eastAsia" w:cs="Times New Roman"/>
          <w:sz w:val="32"/>
          <w:highlight w:val="none"/>
          <w:lang w:val="en-US" w:eastAsia="zh-CN"/>
        </w:rPr>
        <w:t>（1）数量指标：小型水库工程维修养护座数14座、小型水库白蚁等害堤动物日常检查座数30座、堤防白蚁等害堤动物日常检查长度33.01公里、农业水价综合改革面积3.92万亩；</w:t>
      </w:r>
    </w:p>
    <w:p w14:paraId="58DD4FAD">
      <w:pPr>
        <w:ind w:firstLine="640"/>
        <w:rPr>
          <w:rFonts w:hint="eastAsia" w:cs="Times New Roman"/>
          <w:sz w:val="32"/>
          <w:highlight w:val="none"/>
          <w:lang w:val="en-US" w:eastAsia="zh-CN"/>
        </w:rPr>
      </w:pPr>
      <w:r>
        <w:rPr>
          <w:rFonts w:hint="eastAsia" w:cs="Times New Roman"/>
          <w:sz w:val="32"/>
          <w:highlight w:val="none"/>
          <w:lang w:val="en-US" w:eastAsia="zh-CN"/>
        </w:rPr>
        <w:t>（2）质量指标：截至2025年6月底完工项目初步验收率为100%，工程验收合格率100%，已建工程不存在质量问题；</w:t>
      </w:r>
    </w:p>
    <w:p w14:paraId="6230ED81">
      <w:pPr>
        <w:ind w:firstLine="640"/>
        <w:rPr>
          <w:rFonts w:hint="eastAsia" w:cs="Times New Roman"/>
          <w:sz w:val="32"/>
          <w:highlight w:val="none"/>
          <w:lang w:val="en-US" w:eastAsia="zh-CN"/>
        </w:rPr>
      </w:pPr>
      <w:r>
        <w:rPr>
          <w:rFonts w:hint="eastAsia" w:cs="Times New Roman"/>
          <w:sz w:val="32"/>
          <w:highlight w:val="none"/>
          <w:lang w:val="en-US" w:eastAsia="zh-CN"/>
        </w:rPr>
        <w:t>（3）时效指标：截至2024年底投资完成比例≥80%、截至2025年6月底投资完成比例100%。</w:t>
      </w:r>
    </w:p>
    <w:p w14:paraId="26A200B4">
      <w:pPr>
        <w:widowControl w:val="0"/>
        <w:ind w:firstLine="640"/>
        <w:outlineLvl w:val="2"/>
        <w:rPr>
          <w:rFonts w:hint="default" w:ascii="Times New Roman" w:hAnsi="Times New Roman" w:cs="Times New Roman"/>
          <w:b/>
          <w:bCs/>
          <w:sz w:val="32"/>
          <w:szCs w:val="32"/>
          <w:highlight w:val="none"/>
          <w:lang w:val="en-US" w:eastAsia="zh"/>
        </w:rPr>
      </w:pPr>
      <w:r>
        <w:rPr>
          <w:rFonts w:hint="default" w:ascii="Times New Roman" w:hAnsi="Times New Roman" w:cs="Times New Roman"/>
          <w:b/>
          <w:bCs/>
          <w:sz w:val="32"/>
          <w:szCs w:val="32"/>
          <w:highlight w:val="none"/>
          <w:lang w:val="en-US" w:eastAsia="zh"/>
        </w:rPr>
        <w:t>2</w:t>
      </w:r>
      <w:r>
        <w:rPr>
          <w:rFonts w:hint="eastAsia" w:cs="Times New Roman"/>
          <w:b/>
          <w:bCs/>
          <w:sz w:val="32"/>
          <w:szCs w:val="32"/>
          <w:highlight w:val="none"/>
          <w:lang w:val="en-US" w:eastAsia="zh-CN"/>
        </w:rPr>
        <w:t>.</w:t>
      </w:r>
      <w:r>
        <w:rPr>
          <w:rFonts w:hint="default" w:ascii="Times New Roman" w:hAnsi="Times New Roman" w:cs="Times New Roman"/>
          <w:b/>
          <w:bCs/>
          <w:sz w:val="32"/>
          <w:szCs w:val="32"/>
          <w:highlight w:val="none"/>
          <w:lang w:val="en-US" w:eastAsia="zh"/>
        </w:rPr>
        <w:t>效益指标</w:t>
      </w:r>
    </w:p>
    <w:p w14:paraId="15B42628">
      <w:pPr>
        <w:ind w:firstLine="640"/>
        <w:rPr>
          <w:rFonts w:hint="eastAsia" w:cs="Times New Roman"/>
          <w:sz w:val="32"/>
          <w:highlight w:val="none"/>
          <w:lang w:val="en-US" w:eastAsia="zh-CN"/>
        </w:rPr>
      </w:pPr>
      <w:r>
        <w:rPr>
          <w:rFonts w:hint="eastAsia" w:cs="Times New Roman"/>
          <w:sz w:val="32"/>
          <w:highlight w:val="none"/>
          <w:lang w:val="en-US" w:eastAsia="zh-CN"/>
        </w:rPr>
        <w:t>（1）经济效益指标：无；</w:t>
      </w:r>
    </w:p>
    <w:p w14:paraId="40C03868">
      <w:pPr>
        <w:ind w:firstLine="640"/>
        <w:rPr>
          <w:rFonts w:hint="eastAsia" w:cs="Times New Roman"/>
          <w:sz w:val="32"/>
          <w:highlight w:val="none"/>
          <w:lang w:val="en-US" w:eastAsia="zh-CN"/>
        </w:rPr>
      </w:pPr>
      <w:r>
        <w:rPr>
          <w:rFonts w:hint="eastAsia" w:cs="Times New Roman"/>
          <w:sz w:val="32"/>
          <w:highlight w:val="none"/>
          <w:lang w:val="en-US" w:eastAsia="zh-CN"/>
        </w:rPr>
        <w:t>（2）社会效益指标：其他水利工程设施维修养护覆盖服务人口2.156万人；</w:t>
      </w:r>
    </w:p>
    <w:p w14:paraId="6EF7AD2A">
      <w:pPr>
        <w:ind w:firstLine="640"/>
        <w:rPr>
          <w:rFonts w:hint="eastAsia" w:cs="Times New Roman"/>
          <w:sz w:val="32"/>
          <w:highlight w:val="none"/>
          <w:lang w:val="en-US" w:eastAsia="zh-CN"/>
        </w:rPr>
      </w:pPr>
      <w:r>
        <w:rPr>
          <w:rFonts w:hint="eastAsia" w:cs="Times New Roman"/>
          <w:sz w:val="32"/>
          <w:highlight w:val="none"/>
          <w:lang w:val="en-US" w:eastAsia="zh-CN"/>
        </w:rPr>
        <w:t>（3）生态效益指标：无；</w:t>
      </w:r>
    </w:p>
    <w:p w14:paraId="698C0CA3">
      <w:pPr>
        <w:ind w:firstLine="640"/>
        <w:rPr>
          <w:rFonts w:hint="eastAsia" w:cs="Times New Roman"/>
          <w:sz w:val="32"/>
          <w:highlight w:val="none"/>
          <w:lang w:val="en-US" w:eastAsia="zh-CN"/>
        </w:rPr>
      </w:pPr>
      <w:r>
        <w:rPr>
          <w:rFonts w:hint="eastAsia" w:cs="Times New Roman"/>
          <w:sz w:val="32"/>
          <w:highlight w:val="none"/>
          <w:lang w:val="en-US" w:eastAsia="zh-CN"/>
        </w:rPr>
        <w:t>（4）可持续影响指标：已建工程良性运行，工程能达到设计使用年限。</w:t>
      </w:r>
    </w:p>
    <w:p w14:paraId="54C32A08">
      <w:pPr>
        <w:widowControl w:val="0"/>
        <w:ind w:firstLine="640"/>
        <w:outlineLvl w:val="2"/>
        <w:rPr>
          <w:rFonts w:hint="default" w:ascii="Times New Roman" w:hAnsi="Times New Roman" w:cs="Times New Roman"/>
          <w:b/>
          <w:bCs/>
          <w:sz w:val="32"/>
          <w:szCs w:val="32"/>
          <w:highlight w:val="none"/>
          <w:lang w:val="en-US" w:eastAsia="zh-CN"/>
        </w:rPr>
      </w:pPr>
      <w:r>
        <w:rPr>
          <w:rFonts w:hint="default" w:ascii="Times New Roman" w:hAnsi="Times New Roman" w:cs="Times New Roman"/>
          <w:b/>
          <w:bCs/>
          <w:sz w:val="32"/>
          <w:szCs w:val="32"/>
          <w:highlight w:val="none"/>
          <w:lang w:val="en-US" w:eastAsia="zh-CN"/>
        </w:rPr>
        <w:t>3</w:t>
      </w:r>
      <w:r>
        <w:rPr>
          <w:rFonts w:hint="eastAsia" w:cs="Times New Roman"/>
          <w:b/>
          <w:bCs/>
          <w:sz w:val="32"/>
          <w:szCs w:val="32"/>
          <w:highlight w:val="none"/>
          <w:lang w:val="en-US" w:eastAsia="zh-CN"/>
        </w:rPr>
        <w:t>.</w:t>
      </w:r>
      <w:r>
        <w:rPr>
          <w:rFonts w:hint="default" w:ascii="Times New Roman" w:hAnsi="Times New Roman" w:cs="Times New Roman"/>
          <w:b/>
          <w:bCs/>
          <w:sz w:val="32"/>
          <w:szCs w:val="32"/>
          <w:highlight w:val="none"/>
          <w:lang w:val="en-US" w:eastAsia="zh-CN"/>
        </w:rPr>
        <w:t>满意度指标</w:t>
      </w:r>
    </w:p>
    <w:p w14:paraId="661AA74C">
      <w:pPr>
        <w:ind w:firstLine="640"/>
        <w:rPr>
          <w:rFonts w:hint="default" w:cs="Times New Roman"/>
          <w:sz w:val="32"/>
          <w:highlight w:val="none"/>
          <w:lang w:val="en-US" w:eastAsia="zh-CN"/>
        </w:rPr>
      </w:pPr>
      <w:r>
        <w:rPr>
          <w:rFonts w:hint="default" w:cs="Times New Roman"/>
          <w:sz w:val="32"/>
          <w:highlight w:val="none"/>
          <w:lang w:val="en-US" w:eastAsia="zh-CN"/>
        </w:rPr>
        <w:t>受益群众满意度≥90%。</w:t>
      </w:r>
    </w:p>
    <w:p w14:paraId="5CE4B205">
      <w:pPr>
        <w:pStyle w:val="4"/>
        <w:pageBreakBefore w:val="0"/>
        <w:widowControl/>
        <w:kinsoku/>
        <w:wordWrap/>
        <w:overflowPunct/>
        <w:topLinePunct w:val="0"/>
        <w:autoSpaceDE/>
        <w:autoSpaceDN/>
        <w:bidi w:val="0"/>
        <w:adjustRightInd/>
        <w:snapToGrid/>
        <w:spacing w:line="360" w:lineRule="auto"/>
        <w:ind w:firstLine="643"/>
        <w:textAlignment w:val="auto"/>
        <w:rPr>
          <w:rFonts w:hint="default" w:ascii="Times New Roman" w:hAnsi="Times New Roman" w:eastAsia="楷体_GB2312" w:cs="Times New Roman"/>
          <w:b/>
          <w:bCs w:val="0"/>
          <w:sz w:val="32"/>
          <w:highlight w:val="none"/>
        </w:rPr>
      </w:pPr>
      <w:r>
        <w:rPr>
          <w:rFonts w:hint="default" w:ascii="Times New Roman" w:hAnsi="Times New Roman" w:eastAsia="楷体_GB2312" w:cs="Times New Roman"/>
          <w:b/>
          <w:bCs w:val="0"/>
          <w:sz w:val="32"/>
          <w:highlight w:val="none"/>
        </w:rPr>
        <w:t>（二）预算和绩效目标分解情况</w:t>
      </w:r>
    </w:p>
    <w:p w14:paraId="01311B1F">
      <w:pPr>
        <w:keepNext w:val="0"/>
        <w:keepLines w:val="0"/>
        <w:pageBreakBefore w:val="0"/>
        <w:widowControl w:val="0"/>
        <w:kinsoku/>
        <w:wordWrap/>
        <w:overflowPunct/>
        <w:topLinePunct w:val="0"/>
        <w:autoSpaceDE/>
        <w:autoSpaceDN/>
        <w:bidi w:val="0"/>
        <w:adjustRightInd/>
        <w:snapToGrid/>
        <w:spacing w:line="360" w:lineRule="auto"/>
        <w:ind w:firstLine="640"/>
        <w:textAlignment w:val="auto"/>
        <w:outlineLvl w:val="2"/>
        <w:rPr>
          <w:rFonts w:hint="default" w:ascii="Times New Roman" w:hAnsi="Times New Roman" w:cs="Times New Roman"/>
          <w:b/>
          <w:bCs/>
          <w:sz w:val="32"/>
          <w:szCs w:val="32"/>
          <w:highlight w:val="none"/>
        </w:rPr>
      </w:pPr>
      <w:r>
        <w:rPr>
          <w:rFonts w:hint="default" w:ascii="Times New Roman" w:hAnsi="Times New Roman" w:cs="Times New Roman"/>
          <w:b/>
          <w:bCs/>
          <w:sz w:val="32"/>
          <w:szCs w:val="32"/>
          <w:highlight w:val="none"/>
        </w:rPr>
        <w:t>1.资金分配情况</w:t>
      </w:r>
    </w:p>
    <w:p w14:paraId="77AD59BE">
      <w:pPr>
        <w:keepNext w:val="0"/>
        <w:keepLines w:val="0"/>
        <w:widowControl/>
        <w:suppressLineNumbers w:val="0"/>
        <w:jc w:val="left"/>
        <w:rPr>
          <w:sz w:val="32"/>
          <w:highlight w:val="none"/>
        </w:rPr>
      </w:pPr>
      <w:r>
        <w:rPr>
          <w:rFonts w:hint="eastAsia" w:cs="Times New Roman"/>
          <w:sz w:val="32"/>
          <w:highlight w:val="none"/>
        </w:rPr>
        <w:t>为全面落实开展预算绩效管理工作，规范政府部门财政支出预算绩效管理，</w:t>
      </w:r>
      <w:r>
        <w:rPr>
          <w:rFonts w:hint="eastAsia" w:cs="Times New Roman"/>
          <w:sz w:val="32"/>
          <w:highlight w:val="none"/>
          <w:u w:val="single"/>
        </w:rPr>
        <w:t>韶关市曲江区</w:t>
      </w:r>
      <w:r>
        <w:rPr>
          <w:rFonts w:hint="eastAsia" w:cs="Times New Roman"/>
          <w:sz w:val="32"/>
          <w:highlight w:val="none"/>
        </w:rPr>
        <w:t>制定的相关资金管理办法主要有：</w:t>
      </w:r>
      <w:r>
        <w:rPr>
          <w:rFonts w:hint="eastAsia" w:cs="Times New Roman"/>
          <w:sz w:val="32"/>
          <w:highlight w:val="none"/>
          <w:u w:val="single"/>
        </w:rPr>
        <w:t>《韶关市曲江区人民政府关于印发韶关市曲江区区级重大政策和项目事前绩效评估管理办法的通知》（韶曲府〔2022〕45号）、《韶关市曲江区人民政府关于印发韶关市曲江区政府投资工程建设项目管理办法的通知》</w:t>
      </w:r>
      <w:r>
        <w:rPr>
          <w:rFonts w:ascii="仿宋_GB2312" w:hAnsi="仿宋_GB2312" w:eastAsia="仿宋_GB2312" w:cs="仿宋_GB2312"/>
          <w:color w:val="000000"/>
          <w:kern w:val="0"/>
          <w:sz w:val="31"/>
          <w:szCs w:val="31"/>
          <w:highlight w:val="none"/>
          <w:lang w:val="en-US" w:eastAsia="zh-CN" w:bidi="ar"/>
        </w:rPr>
        <w:t>韶曲府〔2023〕31 号</w:t>
      </w:r>
      <w:r>
        <w:rPr>
          <w:rFonts w:hint="eastAsia" w:cs="Times New Roman"/>
          <w:sz w:val="32"/>
          <w:highlight w:val="none"/>
          <w:u w:val="single"/>
        </w:rPr>
        <w:t>、《关于印发曲江区水务局水利工程建设管理办法的通知》（韶曲水〔2020〕75号）等文件</w:t>
      </w:r>
      <w:r>
        <w:rPr>
          <w:rFonts w:hint="eastAsia" w:cs="Times New Roman"/>
          <w:sz w:val="32"/>
          <w:highlight w:val="none"/>
        </w:rPr>
        <w:t>。</w:t>
      </w:r>
    </w:p>
    <w:p w14:paraId="5FFC2887">
      <w:pPr>
        <w:pStyle w:val="10"/>
        <w:keepNext w:val="0"/>
        <w:keepLines w:val="0"/>
        <w:widowControl/>
        <w:suppressLineNumbers w:val="0"/>
        <w:spacing w:before="0" w:beforeAutospacing="0" w:after="0" w:afterAutospacing="0"/>
        <w:ind w:left="0" w:right="0" w:firstLine="0"/>
        <w:rPr>
          <w:rFonts w:hint="eastAsia" w:cs="Times New Roman"/>
          <w:sz w:val="32"/>
          <w:highlight w:val="none"/>
        </w:rPr>
      </w:pPr>
      <w:r>
        <w:rPr>
          <w:rFonts w:hint="eastAsia" w:cs="Times New Roman"/>
          <w:sz w:val="32"/>
          <w:highlight w:val="none"/>
        </w:rPr>
        <w:t>根据</w:t>
      </w:r>
      <w:r>
        <w:rPr>
          <w:rFonts w:hint="eastAsia" w:ascii="Times New Roman" w:hAnsi="Times New Roman" w:eastAsia="仿宋_GB2312" w:cs="Times New Roman"/>
          <w:kern w:val="2"/>
          <w:sz w:val="32"/>
          <w:szCs w:val="22"/>
          <w:highlight w:val="none"/>
          <w:u w:val="single"/>
          <w:lang w:val="en-US" w:eastAsia="zh-CN" w:bidi="ar-SA"/>
        </w:rPr>
        <w:t>《广东省财政厅关于提前下达2024年中央水利发展资金预算的通知</w:t>
      </w:r>
      <w:r>
        <w:rPr>
          <w:rFonts w:hint="eastAsia" w:cs="Times New Roman"/>
          <w:sz w:val="32"/>
          <w:highlight w:val="none"/>
        </w:rPr>
        <w:t>》（</w:t>
      </w:r>
      <w:r>
        <w:rPr>
          <w:rFonts w:hint="eastAsia" w:ascii="Times New Roman" w:hAnsi="Times New Roman" w:cs="Times New Roman"/>
          <w:color w:val="auto"/>
          <w:sz w:val="32"/>
          <w:highlight w:val="none"/>
          <w:u w:val="single"/>
          <w:lang w:val="en-US" w:eastAsia="zh-CN"/>
        </w:rPr>
        <w:t>粤财农〔2023〕187号</w:t>
      </w:r>
      <w:r>
        <w:rPr>
          <w:rFonts w:hint="eastAsia" w:cs="Times New Roman"/>
          <w:sz w:val="32"/>
          <w:highlight w:val="none"/>
        </w:rPr>
        <w:t>），</w:t>
      </w:r>
      <w:r>
        <w:rPr>
          <w:rFonts w:hint="eastAsia" w:ascii="Times New Roman" w:hAnsi="Times New Roman" w:cs="Times New Roman"/>
          <w:sz w:val="32"/>
          <w:highlight w:val="none"/>
        </w:rPr>
        <w:t>《</w:t>
      </w:r>
      <w:r>
        <w:rPr>
          <w:rFonts w:hint="eastAsia" w:ascii="Times New Roman" w:hAnsi="Times New Roman" w:cs="Times New Roman"/>
          <w:color w:val="auto"/>
          <w:sz w:val="32"/>
          <w:highlight w:val="none"/>
          <w:u w:val="single"/>
        </w:rPr>
        <w:t>关于提前下达2024年中央水利发展资金预算的通知</w:t>
      </w:r>
      <w:r>
        <w:rPr>
          <w:rFonts w:hint="eastAsia" w:ascii="Times New Roman" w:hAnsi="Times New Roman" w:cs="Times New Roman"/>
          <w:sz w:val="32"/>
          <w:highlight w:val="none"/>
        </w:rPr>
        <w:t>》（</w:t>
      </w:r>
      <w:r>
        <w:rPr>
          <w:rFonts w:hint="eastAsia" w:ascii="Times New Roman" w:hAnsi="Times New Roman" w:cs="Times New Roman"/>
          <w:color w:val="auto"/>
          <w:sz w:val="32"/>
          <w:highlight w:val="none"/>
          <w:u w:val="single"/>
        </w:rPr>
        <w:t>韶财农〔2023〕114号</w:t>
      </w:r>
      <w:r>
        <w:rPr>
          <w:rFonts w:hint="eastAsia" w:ascii="Times New Roman" w:hAnsi="Times New Roman" w:cs="Times New Roman"/>
          <w:sz w:val="32"/>
          <w:highlight w:val="none"/>
        </w:rPr>
        <w:t>）</w:t>
      </w:r>
      <w:r>
        <w:rPr>
          <w:rFonts w:hint="eastAsia" w:cs="Times New Roman"/>
          <w:sz w:val="32"/>
          <w:highlight w:val="none"/>
          <w:lang w:eastAsia="zh-CN"/>
        </w:rPr>
        <w:t>、</w:t>
      </w:r>
      <w:r>
        <w:rPr>
          <w:rFonts w:hint="eastAsia" w:ascii="Times New Roman" w:hAnsi="Times New Roman" w:cs="Times New Roman"/>
          <w:sz w:val="32"/>
          <w:highlight w:val="none"/>
        </w:rPr>
        <w:t>《</w:t>
      </w:r>
      <w:r>
        <w:rPr>
          <w:rFonts w:hint="eastAsia" w:ascii="Times New Roman" w:hAnsi="Times New Roman" w:cs="Times New Roman"/>
          <w:color w:val="auto"/>
          <w:sz w:val="32"/>
          <w:highlight w:val="none"/>
          <w:u w:val="single"/>
          <w:lang w:val="en-US" w:eastAsia="zh-CN"/>
        </w:rPr>
        <w:t>关于下达 2024 年中央水利发展资金预算的通知</w:t>
      </w:r>
      <w:r>
        <w:rPr>
          <w:rFonts w:hint="eastAsia" w:ascii="Times New Roman" w:hAnsi="Times New Roman" w:cs="Times New Roman"/>
          <w:sz w:val="32"/>
          <w:highlight w:val="none"/>
        </w:rPr>
        <w:t>》（</w:t>
      </w:r>
      <w:r>
        <w:rPr>
          <w:rFonts w:hint="eastAsia" w:ascii="Times New Roman" w:hAnsi="Times New Roman" w:cs="Times New Roman"/>
          <w:color w:val="auto"/>
          <w:sz w:val="32"/>
          <w:highlight w:val="none"/>
          <w:u w:val="single"/>
        </w:rPr>
        <w:t>韶财农〔202</w:t>
      </w:r>
      <w:r>
        <w:rPr>
          <w:rFonts w:hint="eastAsia" w:cs="Times New Roman"/>
          <w:color w:val="auto"/>
          <w:sz w:val="32"/>
          <w:highlight w:val="none"/>
          <w:u w:val="single"/>
          <w:lang w:val="en-US" w:eastAsia="zh-CN"/>
        </w:rPr>
        <w:t>4</w:t>
      </w:r>
      <w:r>
        <w:rPr>
          <w:rFonts w:hint="eastAsia" w:ascii="Times New Roman" w:hAnsi="Times New Roman" w:cs="Times New Roman"/>
          <w:color w:val="auto"/>
          <w:sz w:val="32"/>
          <w:highlight w:val="none"/>
          <w:u w:val="single"/>
        </w:rPr>
        <w:t>〕</w:t>
      </w:r>
      <w:r>
        <w:rPr>
          <w:rFonts w:hint="eastAsia" w:cs="Times New Roman"/>
          <w:color w:val="auto"/>
          <w:sz w:val="32"/>
          <w:highlight w:val="none"/>
          <w:u w:val="single"/>
          <w:lang w:val="en-US" w:eastAsia="zh-CN"/>
        </w:rPr>
        <w:t>6</w:t>
      </w:r>
      <w:r>
        <w:rPr>
          <w:rFonts w:hint="eastAsia" w:ascii="Times New Roman" w:hAnsi="Times New Roman" w:cs="Times New Roman"/>
          <w:color w:val="auto"/>
          <w:sz w:val="32"/>
          <w:highlight w:val="none"/>
          <w:u w:val="single"/>
        </w:rPr>
        <w:t>号</w:t>
      </w:r>
      <w:r>
        <w:rPr>
          <w:rFonts w:hint="eastAsia" w:ascii="Times New Roman" w:hAnsi="Times New Roman" w:cs="Times New Roman"/>
          <w:sz w:val="32"/>
          <w:highlight w:val="none"/>
        </w:rPr>
        <w:t>）</w:t>
      </w:r>
      <w:r>
        <w:rPr>
          <w:rFonts w:hint="eastAsia" w:cs="Times New Roman"/>
          <w:sz w:val="32"/>
          <w:highlight w:val="none"/>
        </w:rPr>
        <w:t>，</w:t>
      </w:r>
      <w:r>
        <w:rPr>
          <w:rFonts w:hint="eastAsia" w:cs="Times New Roman"/>
          <w:sz w:val="32"/>
          <w:highlight w:val="none"/>
          <w:lang w:val="en-US" w:eastAsia="zh-CN"/>
        </w:rPr>
        <w:t>2024</w:t>
      </w:r>
      <w:r>
        <w:rPr>
          <w:rFonts w:cs="Times New Roman"/>
          <w:sz w:val="32"/>
          <w:highlight w:val="none"/>
        </w:rPr>
        <w:t>年中央水利发展资金下达</w:t>
      </w:r>
      <w:r>
        <w:rPr>
          <w:rFonts w:hint="eastAsia" w:ascii="Times New Roman" w:hAnsi="Times New Roman" w:cs="Times New Roman"/>
          <w:sz w:val="32"/>
          <w:highlight w:val="none"/>
          <w:u w:val="single"/>
        </w:rPr>
        <w:t>韶关市曲江区</w:t>
      </w:r>
      <w:r>
        <w:rPr>
          <w:rFonts w:hint="eastAsia" w:cs="Times New Roman"/>
          <w:sz w:val="32"/>
          <w:highlight w:val="none"/>
        </w:rPr>
        <w:t>的资金预算为95万元，资金支出类别为：农业水价综合改革24万元、小型水库维修养护40万元、白蚁防治31万元。</w:t>
      </w:r>
    </w:p>
    <w:p w14:paraId="6A4B138A">
      <w:pPr>
        <w:keepNext w:val="0"/>
        <w:keepLines w:val="0"/>
        <w:pageBreakBefore w:val="0"/>
        <w:widowControl w:val="0"/>
        <w:kinsoku/>
        <w:wordWrap/>
        <w:overflowPunct/>
        <w:topLinePunct w:val="0"/>
        <w:autoSpaceDE/>
        <w:autoSpaceDN/>
        <w:bidi w:val="0"/>
        <w:adjustRightInd/>
        <w:snapToGrid/>
        <w:spacing w:line="360" w:lineRule="auto"/>
        <w:ind w:firstLine="640"/>
        <w:textAlignment w:val="auto"/>
        <w:outlineLvl w:val="2"/>
        <w:rPr>
          <w:rFonts w:hint="default" w:ascii="Times New Roman" w:hAnsi="Times New Roman" w:cs="Times New Roman"/>
          <w:b/>
          <w:bCs/>
          <w:sz w:val="32"/>
          <w:szCs w:val="32"/>
          <w:highlight w:val="none"/>
        </w:rPr>
      </w:pPr>
      <w:r>
        <w:rPr>
          <w:rFonts w:hint="default" w:ascii="Times New Roman" w:hAnsi="Times New Roman" w:cs="Times New Roman"/>
          <w:b/>
          <w:bCs/>
          <w:sz w:val="32"/>
          <w:szCs w:val="32"/>
          <w:highlight w:val="none"/>
        </w:rPr>
        <w:t>2.预算和绩效目标省内分解下达情况</w:t>
      </w:r>
    </w:p>
    <w:p w14:paraId="06559368">
      <w:pPr>
        <w:pStyle w:val="10"/>
        <w:keepNext w:val="0"/>
        <w:keepLines w:val="0"/>
        <w:widowControl/>
        <w:suppressLineNumbers w:val="0"/>
        <w:spacing w:before="0" w:beforeAutospacing="0" w:after="0" w:afterAutospacing="0"/>
        <w:ind w:left="0" w:right="0" w:firstLine="0"/>
        <w:rPr>
          <w:rFonts w:hint="eastAsia" w:eastAsia="仿宋_GB2312" w:cs="Times New Roman"/>
          <w:sz w:val="32"/>
          <w:highlight w:val="none"/>
          <w:lang w:val="en-US" w:eastAsia="zh-CN"/>
        </w:rPr>
      </w:pPr>
      <w:r>
        <w:rPr>
          <w:rFonts w:hint="eastAsia" w:cs="Times New Roman"/>
          <w:sz w:val="32"/>
          <w:highlight w:val="none"/>
          <w:u w:val="single"/>
          <w:lang w:val="en-US" w:eastAsia="zh-CN"/>
        </w:rPr>
        <w:t>2023</w:t>
      </w:r>
      <w:r>
        <w:rPr>
          <w:rFonts w:hint="eastAsia" w:cs="Times New Roman"/>
          <w:sz w:val="32"/>
          <w:highlight w:val="none"/>
          <w:u w:val="single"/>
        </w:rPr>
        <w:t>年</w:t>
      </w:r>
      <w:r>
        <w:rPr>
          <w:rFonts w:hint="eastAsia" w:cs="Times New Roman"/>
          <w:sz w:val="32"/>
          <w:highlight w:val="none"/>
          <w:u w:val="single"/>
          <w:lang w:val="en-US" w:eastAsia="zh-CN"/>
        </w:rPr>
        <w:t>12</w:t>
      </w:r>
      <w:r>
        <w:rPr>
          <w:rFonts w:hint="eastAsia" w:cs="Times New Roman"/>
          <w:sz w:val="32"/>
          <w:highlight w:val="none"/>
          <w:u w:val="single"/>
        </w:rPr>
        <w:t>月</w:t>
      </w:r>
      <w:r>
        <w:rPr>
          <w:rFonts w:hint="eastAsia" w:cs="Times New Roman"/>
          <w:sz w:val="32"/>
          <w:highlight w:val="none"/>
          <w:u w:val="single"/>
          <w:lang w:val="en-US" w:eastAsia="zh-CN"/>
        </w:rPr>
        <w:t>13</w:t>
      </w:r>
      <w:r>
        <w:rPr>
          <w:rFonts w:hint="eastAsia" w:cs="Times New Roman"/>
          <w:sz w:val="32"/>
          <w:highlight w:val="none"/>
          <w:u w:val="single"/>
        </w:rPr>
        <w:t>日，</w:t>
      </w:r>
      <w:r>
        <w:rPr>
          <w:rFonts w:hint="eastAsia" w:ascii="Times New Roman" w:hAnsi="Times New Roman" w:cs="Times New Roman"/>
          <w:sz w:val="32"/>
          <w:highlight w:val="none"/>
        </w:rPr>
        <w:t>《</w:t>
      </w:r>
      <w:r>
        <w:rPr>
          <w:rFonts w:hint="eastAsia" w:ascii="Times New Roman" w:hAnsi="Times New Roman" w:cs="Times New Roman"/>
          <w:color w:val="auto"/>
          <w:sz w:val="32"/>
          <w:highlight w:val="none"/>
          <w:u w:val="single"/>
        </w:rPr>
        <w:t>关于提前下达2024年中央水利发展资金预算的通知</w:t>
      </w:r>
      <w:r>
        <w:rPr>
          <w:rFonts w:hint="eastAsia" w:ascii="Times New Roman" w:hAnsi="Times New Roman" w:cs="Times New Roman"/>
          <w:sz w:val="32"/>
          <w:highlight w:val="none"/>
        </w:rPr>
        <w:t>》（</w:t>
      </w:r>
      <w:r>
        <w:rPr>
          <w:rFonts w:hint="eastAsia" w:ascii="Times New Roman" w:hAnsi="Times New Roman" w:cs="Times New Roman"/>
          <w:color w:val="auto"/>
          <w:sz w:val="32"/>
          <w:highlight w:val="none"/>
          <w:u w:val="single"/>
        </w:rPr>
        <w:t>韶财农〔2023〕114号</w:t>
      </w:r>
      <w:r>
        <w:rPr>
          <w:rFonts w:hint="eastAsia" w:ascii="Times New Roman" w:hAnsi="Times New Roman" w:cs="Times New Roman"/>
          <w:sz w:val="32"/>
          <w:highlight w:val="none"/>
        </w:rPr>
        <w:t>）</w:t>
      </w:r>
      <w:r>
        <w:rPr>
          <w:rFonts w:hint="eastAsia" w:cs="Times New Roman"/>
          <w:sz w:val="32"/>
          <w:highlight w:val="none"/>
          <w:lang w:eastAsia="zh-CN"/>
        </w:rPr>
        <w:t>、</w:t>
      </w:r>
      <w:r>
        <w:rPr>
          <w:rFonts w:hint="eastAsia" w:cs="Times New Roman"/>
          <w:sz w:val="32"/>
          <w:highlight w:val="none"/>
          <w:u w:val="single"/>
          <w:lang w:val="en-US" w:eastAsia="zh-CN"/>
        </w:rPr>
        <w:t>2024</w:t>
      </w:r>
      <w:r>
        <w:rPr>
          <w:rFonts w:hint="eastAsia" w:cs="Times New Roman"/>
          <w:sz w:val="32"/>
          <w:highlight w:val="none"/>
          <w:u w:val="single"/>
        </w:rPr>
        <w:t>年</w:t>
      </w:r>
      <w:r>
        <w:rPr>
          <w:rFonts w:hint="eastAsia" w:cs="Times New Roman"/>
          <w:sz w:val="32"/>
          <w:highlight w:val="none"/>
          <w:u w:val="single"/>
          <w:lang w:val="en-US" w:eastAsia="zh-CN"/>
        </w:rPr>
        <w:t>1</w:t>
      </w:r>
      <w:r>
        <w:rPr>
          <w:rFonts w:hint="eastAsia" w:cs="Times New Roman"/>
          <w:sz w:val="32"/>
          <w:highlight w:val="none"/>
          <w:u w:val="single"/>
        </w:rPr>
        <w:t>月</w:t>
      </w:r>
      <w:r>
        <w:rPr>
          <w:rFonts w:hint="eastAsia" w:cs="Times New Roman"/>
          <w:sz w:val="32"/>
          <w:highlight w:val="none"/>
          <w:u w:val="single"/>
          <w:lang w:val="en-US" w:eastAsia="zh-CN"/>
        </w:rPr>
        <w:t>12</w:t>
      </w:r>
      <w:r>
        <w:rPr>
          <w:rFonts w:hint="eastAsia" w:cs="Times New Roman"/>
          <w:sz w:val="32"/>
          <w:highlight w:val="none"/>
          <w:u w:val="single"/>
        </w:rPr>
        <w:t>日，</w:t>
      </w:r>
      <w:r>
        <w:rPr>
          <w:rFonts w:hint="eastAsia" w:ascii="Times New Roman" w:hAnsi="Times New Roman" w:cs="Times New Roman"/>
          <w:sz w:val="32"/>
          <w:highlight w:val="none"/>
        </w:rPr>
        <w:t>《</w:t>
      </w:r>
      <w:r>
        <w:rPr>
          <w:rFonts w:hint="eastAsia" w:ascii="Times New Roman" w:hAnsi="Times New Roman" w:cs="Times New Roman"/>
          <w:color w:val="auto"/>
          <w:sz w:val="32"/>
          <w:highlight w:val="none"/>
          <w:u w:val="single"/>
        </w:rPr>
        <w:t>关于下达2024年中央水利发展资金预算的通知》</w:t>
      </w:r>
      <w:r>
        <w:rPr>
          <w:rFonts w:hint="eastAsia" w:ascii="Times New Roman" w:hAnsi="Times New Roman" w:cs="Times New Roman"/>
          <w:sz w:val="32"/>
          <w:highlight w:val="none"/>
        </w:rPr>
        <w:t>（</w:t>
      </w:r>
      <w:r>
        <w:rPr>
          <w:rFonts w:hint="eastAsia" w:ascii="Times New Roman" w:hAnsi="Times New Roman" w:cs="Times New Roman"/>
          <w:color w:val="auto"/>
          <w:sz w:val="32"/>
          <w:highlight w:val="none"/>
          <w:u w:val="single"/>
          <w:lang w:val="en-US" w:eastAsia="zh-CN"/>
        </w:rPr>
        <w:t>韶财农〔2024〕6 号</w:t>
      </w:r>
      <w:r>
        <w:rPr>
          <w:rFonts w:hint="eastAsia" w:ascii="Times New Roman" w:hAnsi="Times New Roman" w:cs="Times New Roman"/>
          <w:color w:val="auto"/>
          <w:sz w:val="32"/>
          <w:highlight w:val="none"/>
          <w:u w:val="single"/>
        </w:rPr>
        <w:t>）</w:t>
      </w:r>
      <w:r>
        <w:rPr>
          <w:rFonts w:hint="eastAsia" w:cs="Times New Roman"/>
          <w:sz w:val="32"/>
          <w:highlight w:val="none"/>
        </w:rPr>
        <w:t>已将资金和绩效目标下达至</w:t>
      </w:r>
      <w:r>
        <w:rPr>
          <w:rFonts w:hint="eastAsia" w:ascii="Times New Roman" w:hAnsi="Times New Roman" w:cs="Times New Roman"/>
          <w:sz w:val="32"/>
          <w:highlight w:val="none"/>
          <w:u w:val="single"/>
        </w:rPr>
        <w:t>韶关市曲江区</w:t>
      </w:r>
      <w:r>
        <w:rPr>
          <w:rFonts w:hint="eastAsia" w:cs="Times New Roman"/>
          <w:sz w:val="32"/>
          <w:highlight w:val="none"/>
        </w:rPr>
        <w:t>。</w:t>
      </w:r>
      <w:r>
        <w:rPr>
          <w:rFonts w:hint="eastAsia" w:cs="Times New Roman"/>
          <w:sz w:val="32"/>
          <w:highlight w:val="none"/>
          <w:u w:val="single"/>
          <w:lang w:val="en-US" w:eastAsia="zh-CN"/>
        </w:rPr>
        <w:t>2023</w:t>
      </w:r>
      <w:r>
        <w:rPr>
          <w:rFonts w:hint="eastAsia" w:cs="Times New Roman"/>
          <w:sz w:val="32"/>
          <w:highlight w:val="none"/>
          <w:u w:val="single"/>
        </w:rPr>
        <w:t>年</w:t>
      </w:r>
      <w:r>
        <w:rPr>
          <w:rFonts w:hint="eastAsia" w:cs="Times New Roman"/>
          <w:sz w:val="32"/>
          <w:highlight w:val="none"/>
          <w:u w:val="single"/>
          <w:lang w:val="en-US" w:eastAsia="zh-CN"/>
        </w:rPr>
        <w:t>12</w:t>
      </w:r>
      <w:r>
        <w:rPr>
          <w:rFonts w:hint="eastAsia" w:cs="Times New Roman"/>
          <w:sz w:val="32"/>
          <w:highlight w:val="none"/>
          <w:u w:val="single"/>
        </w:rPr>
        <w:t>月</w:t>
      </w:r>
      <w:r>
        <w:rPr>
          <w:rFonts w:hint="eastAsia" w:cs="Times New Roman"/>
          <w:sz w:val="32"/>
          <w:highlight w:val="none"/>
          <w:u w:val="single"/>
          <w:lang w:val="en-US" w:eastAsia="zh-CN"/>
        </w:rPr>
        <w:t>18</w:t>
      </w:r>
      <w:r>
        <w:rPr>
          <w:rFonts w:hint="eastAsia" w:cs="Times New Roman"/>
          <w:sz w:val="32"/>
          <w:highlight w:val="none"/>
          <w:u w:val="single"/>
        </w:rPr>
        <w:t>日，</w:t>
      </w:r>
      <w:r>
        <w:rPr>
          <w:rFonts w:hint="eastAsia" w:cs="Times New Roman"/>
          <w:sz w:val="32"/>
          <w:highlight w:val="none"/>
        </w:rPr>
        <w:t>《</w:t>
      </w:r>
      <w:r>
        <w:rPr>
          <w:rFonts w:hint="eastAsia" w:ascii="Times New Roman" w:hAnsi="Times New Roman" w:cs="Times New Roman"/>
          <w:color w:val="auto"/>
          <w:sz w:val="32"/>
          <w:highlight w:val="none"/>
          <w:u w:val="single"/>
          <w:lang w:val="en-US" w:eastAsia="zh-CN"/>
        </w:rPr>
        <w:t>关于提前下达2024年中央水利发展资金预算的通知</w:t>
      </w:r>
      <w:r>
        <w:rPr>
          <w:rFonts w:hint="eastAsia" w:cs="Times New Roman"/>
          <w:sz w:val="32"/>
          <w:highlight w:val="none"/>
        </w:rPr>
        <w:t>》（</w:t>
      </w:r>
      <w:r>
        <w:rPr>
          <w:rFonts w:hint="eastAsia" w:ascii="Times New Roman" w:hAnsi="Times New Roman" w:cs="Times New Roman"/>
          <w:color w:val="auto"/>
          <w:sz w:val="32"/>
          <w:highlight w:val="none"/>
          <w:u w:val="single"/>
          <w:lang w:val="en-US" w:eastAsia="zh-CN"/>
        </w:rPr>
        <w:t>韶曲财农[2023]47号</w:t>
      </w:r>
      <w:r>
        <w:rPr>
          <w:rFonts w:hint="eastAsia" w:cs="Times New Roman"/>
          <w:sz w:val="32"/>
          <w:highlight w:val="none"/>
        </w:rPr>
        <w:t>）</w:t>
      </w:r>
      <w:r>
        <w:rPr>
          <w:rFonts w:hint="eastAsia" w:cs="Times New Roman"/>
          <w:sz w:val="32"/>
          <w:highlight w:val="none"/>
          <w:lang w:eastAsia="zh-CN"/>
        </w:rPr>
        <w:t>、</w:t>
      </w:r>
      <w:r>
        <w:rPr>
          <w:rFonts w:hint="eastAsia" w:cs="Times New Roman"/>
          <w:sz w:val="32"/>
          <w:highlight w:val="none"/>
          <w:u w:val="single"/>
          <w:lang w:val="en-US" w:eastAsia="zh-CN"/>
        </w:rPr>
        <w:t>2024</w:t>
      </w:r>
      <w:r>
        <w:rPr>
          <w:rFonts w:hint="eastAsia" w:cs="Times New Roman"/>
          <w:sz w:val="32"/>
          <w:highlight w:val="none"/>
          <w:u w:val="single"/>
        </w:rPr>
        <w:t>年</w:t>
      </w:r>
      <w:r>
        <w:rPr>
          <w:rFonts w:hint="eastAsia" w:cs="Times New Roman"/>
          <w:sz w:val="32"/>
          <w:highlight w:val="none"/>
          <w:u w:val="single"/>
          <w:lang w:val="en-US" w:eastAsia="zh-CN"/>
        </w:rPr>
        <w:t>1</w:t>
      </w:r>
      <w:r>
        <w:rPr>
          <w:rFonts w:hint="eastAsia" w:cs="Times New Roman"/>
          <w:sz w:val="32"/>
          <w:highlight w:val="none"/>
          <w:u w:val="single"/>
        </w:rPr>
        <w:t>月</w:t>
      </w:r>
      <w:r>
        <w:rPr>
          <w:rFonts w:hint="eastAsia" w:cs="Times New Roman"/>
          <w:sz w:val="32"/>
          <w:highlight w:val="none"/>
          <w:u w:val="single"/>
          <w:lang w:val="en-US" w:eastAsia="zh-CN"/>
        </w:rPr>
        <w:t>17</w:t>
      </w:r>
      <w:r>
        <w:rPr>
          <w:rFonts w:hint="eastAsia" w:cs="Times New Roman"/>
          <w:sz w:val="32"/>
          <w:highlight w:val="none"/>
          <w:u w:val="single"/>
        </w:rPr>
        <w:t>日，</w:t>
      </w:r>
      <w:r>
        <w:rPr>
          <w:rFonts w:hint="eastAsia" w:cs="Times New Roman"/>
          <w:sz w:val="32"/>
          <w:highlight w:val="none"/>
        </w:rPr>
        <w:t>《</w:t>
      </w:r>
      <w:r>
        <w:rPr>
          <w:rFonts w:hint="eastAsia" w:cs="Times New Roman"/>
          <w:sz w:val="32"/>
          <w:highlight w:val="none"/>
          <w:u w:val="single"/>
          <w:lang w:val="en-US" w:eastAsia="zh-CN"/>
        </w:rPr>
        <w:t>关于下达2024年中央水利发展资金预算的通知》</w:t>
      </w:r>
      <w:r>
        <w:rPr>
          <w:rFonts w:hint="eastAsia" w:cs="Times New Roman"/>
          <w:sz w:val="32"/>
          <w:highlight w:val="none"/>
        </w:rPr>
        <w:t>（</w:t>
      </w:r>
      <w:r>
        <w:rPr>
          <w:rFonts w:hint="eastAsia" w:ascii="Times New Roman" w:hAnsi="Times New Roman" w:cs="Times New Roman"/>
          <w:color w:val="auto"/>
          <w:sz w:val="32"/>
          <w:highlight w:val="none"/>
          <w:u w:val="single"/>
          <w:lang w:val="en-US" w:eastAsia="zh-CN"/>
        </w:rPr>
        <w:t>韶曲财农</w:t>
      </w:r>
      <w:r>
        <w:rPr>
          <w:rFonts w:hint="eastAsia" w:cs="Times New Roman"/>
          <w:color w:val="auto"/>
          <w:sz w:val="32"/>
          <w:highlight w:val="none"/>
          <w:u w:val="single"/>
          <w:lang w:val="en-US" w:eastAsia="zh-CN"/>
        </w:rPr>
        <w:t>[</w:t>
      </w:r>
      <w:r>
        <w:rPr>
          <w:rFonts w:hint="eastAsia" w:ascii="Times New Roman" w:hAnsi="Times New Roman" w:cs="Times New Roman"/>
          <w:color w:val="auto"/>
          <w:sz w:val="32"/>
          <w:highlight w:val="none"/>
          <w:u w:val="single"/>
          <w:lang w:val="en-US" w:eastAsia="zh-CN"/>
        </w:rPr>
        <w:t>2024</w:t>
      </w:r>
      <w:r>
        <w:rPr>
          <w:rFonts w:hint="eastAsia" w:cs="Times New Roman"/>
          <w:color w:val="auto"/>
          <w:sz w:val="32"/>
          <w:highlight w:val="none"/>
          <w:u w:val="single"/>
          <w:lang w:val="en-US" w:eastAsia="zh-CN"/>
        </w:rPr>
        <w:t>]</w:t>
      </w:r>
      <w:r>
        <w:rPr>
          <w:rFonts w:hint="eastAsia" w:ascii="Times New Roman" w:hAnsi="Times New Roman" w:cs="Times New Roman"/>
          <w:color w:val="auto"/>
          <w:sz w:val="32"/>
          <w:highlight w:val="none"/>
          <w:u w:val="single"/>
          <w:lang w:val="en-US" w:eastAsia="zh-CN"/>
        </w:rPr>
        <w:t>11号</w:t>
      </w:r>
      <w:r>
        <w:rPr>
          <w:rFonts w:hint="eastAsia" w:cs="Times New Roman"/>
          <w:sz w:val="32"/>
          <w:highlight w:val="none"/>
        </w:rPr>
        <w:t>）将资金和绩效目标进行进一步分解。</w:t>
      </w:r>
      <w:r>
        <w:rPr>
          <w:rFonts w:hint="eastAsia" w:cs="Times New Roman"/>
          <w:sz w:val="32"/>
          <w:highlight w:val="none"/>
          <w:lang w:val="en-US" w:eastAsia="zh-CN"/>
        </w:rPr>
        <w:t>各资金支出</w:t>
      </w:r>
      <w:r>
        <w:rPr>
          <w:rFonts w:hint="eastAsia" w:cs="Times New Roman"/>
          <w:sz w:val="32"/>
          <w:highlight w:val="none"/>
        </w:rPr>
        <w:t>方向</w:t>
      </w:r>
      <w:r>
        <w:rPr>
          <w:rFonts w:hint="eastAsia" w:cs="Times New Roman"/>
          <w:sz w:val="32"/>
          <w:highlight w:val="none"/>
          <w:lang w:val="en-US" w:eastAsia="zh-CN"/>
        </w:rPr>
        <w:t>的下达金额见</w:t>
      </w:r>
      <w:r>
        <w:rPr>
          <w:rFonts w:hint="eastAsia" w:cs="Times New Roman"/>
          <w:sz w:val="32"/>
          <w:highlight w:val="none"/>
        </w:rPr>
        <w:t>下表。</w:t>
      </w:r>
    </w:p>
    <w:p w14:paraId="058AA498">
      <w:pPr>
        <w:ind w:firstLine="0" w:firstLineChars="0"/>
        <w:jc w:val="center"/>
        <w:rPr>
          <w:rFonts w:cs="Times New Roman"/>
          <w:b w:val="0"/>
          <w:bCs w:val="0"/>
          <w:highlight w:val="none"/>
        </w:rPr>
      </w:pPr>
      <w:r>
        <w:rPr>
          <w:rFonts w:hint="eastAsia" w:cs="Times New Roman"/>
          <w:b w:val="0"/>
          <w:bCs w:val="0"/>
          <w:highlight w:val="none"/>
        </w:rPr>
        <w:t>表</w:t>
      </w:r>
      <w:r>
        <w:rPr>
          <w:rFonts w:cs="Times New Roman"/>
          <w:b w:val="0"/>
          <w:bCs w:val="0"/>
          <w:highlight w:val="none"/>
        </w:rPr>
        <w:t xml:space="preserve">1  </w:t>
      </w:r>
      <w:r>
        <w:rPr>
          <w:rFonts w:hint="eastAsia" w:cs="Times New Roman"/>
          <w:b w:val="0"/>
          <w:bCs w:val="0"/>
          <w:highlight w:val="none"/>
        </w:rPr>
        <w:t>韶关市曲江区</w:t>
      </w:r>
      <w:r>
        <w:rPr>
          <w:rFonts w:cs="Times New Roman"/>
          <w:b w:val="0"/>
          <w:bCs w:val="0"/>
          <w:highlight w:val="none"/>
        </w:rPr>
        <w:t>20</w:t>
      </w:r>
      <w:r>
        <w:rPr>
          <w:rFonts w:hint="eastAsia" w:cs="Times New Roman"/>
          <w:b w:val="0"/>
          <w:bCs w:val="0"/>
          <w:highlight w:val="none"/>
          <w:lang w:val="en-US" w:eastAsia="zh-CN"/>
        </w:rPr>
        <w:t>24</w:t>
      </w:r>
      <w:r>
        <w:rPr>
          <w:rFonts w:hint="eastAsia" w:cs="Times New Roman"/>
          <w:b w:val="0"/>
          <w:bCs w:val="0"/>
          <w:highlight w:val="none"/>
        </w:rPr>
        <w:t>年度中央水利发展资金分解下达统计表</w:t>
      </w:r>
    </w:p>
    <w:tbl>
      <w:tblPr>
        <w:tblStyle w:val="13"/>
        <w:tblW w:w="465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9"/>
        <w:gridCol w:w="4085"/>
        <w:gridCol w:w="1844"/>
        <w:gridCol w:w="1116"/>
      </w:tblGrid>
      <w:tr w14:paraId="749FD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1" w:hRule="atLeast"/>
          <w:jc w:val="center"/>
        </w:trPr>
        <w:tc>
          <w:tcPr>
            <w:tcW w:w="560" w:type="pct"/>
            <w:vAlign w:val="center"/>
          </w:tcPr>
          <w:p w14:paraId="0CCE5A96">
            <w:pPr>
              <w:pStyle w:val="32"/>
              <w:keepNext w:val="0"/>
              <w:keepLines w:val="0"/>
              <w:suppressLineNumbers w:val="0"/>
              <w:spacing w:before="0" w:beforeAutospacing="0" w:after="0" w:afterAutospacing="0" w:line="240" w:lineRule="auto"/>
              <w:ind w:left="0" w:right="0"/>
              <w:jc w:val="center"/>
              <w:rPr>
                <w:rFonts w:hint="default" w:ascii="Times New Roman" w:hAnsi="Times New Roman" w:eastAsia="仿宋_GB2312"/>
                <w:b w:val="0"/>
                <w:bCs w:val="0"/>
                <w:color w:val="auto"/>
                <w:kern w:val="2"/>
                <w:sz w:val="21"/>
                <w:szCs w:val="21"/>
                <w:highlight w:val="none"/>
              </w:rPr>
            </w:pPr>
            <w:r>
              <w:rPr>
                <w:rFonts w:hint="default" w:ascii="Times New Roman" w:hAnsi="Times New Roman" w:eastAsia="仿宋_GB2312"/>
                <w:b w:val="0"/>
                <w:bCs w:val="0"/>
                <w:color w:val="auto"/>
                <w:kern w:val="2"/>
                <w:sz w:val="21"/>
                <w:szCs w:val="21"/>
                <w:highlight w:val="none"/>
              </w:rPr>
              <w:t>序号</w:t>
            </w:r>
          </w:p>
        </w:tc>
        <w:tc>
          <w:tcPr>
            <w:tcW w:w="2574" w:type="pct"/>
            <w:vAlign w:val="center"/>
          </w:tcPr>
          <w:p w14:paraId="62E53106">
            <w:pPr>
              <w:pStyle w:val="32"/>
              <w:keepNext w:val="0"/>
              <w:keepLines w:val="0"/>
              <w:suppressLineNumbers w:val="0"/>
              <w:spacing w:before="0" w:beforeAutospacing="0" w:after="0" w:afterAutospacing="0" w:line="240" w:lineRule="auto"/>
              <w:ind w:left="0" w:right="0"/>
              <w:jc w:val="center"/>
              <w:rPr>
                <w:rFonts w:hint="default" w:ascii="Times New Roman" w:hAnsi="Times New Roman" w:eastAsia="仿宋_GB2312"/>
                <w:b w:val="0"/>
                <w:bCs w:val="0"/>
                <w:color w:val="auto"/>
                <w:kern w:val="2"/>
                <w:sz w:val="21"/>
                <w:szCs w:val="21"/>
                <w:highlight w:val="none"/>
              </w:rPr>
            </w:pPr>
            <w:r>
              <w:rPr>
                <w:rFonts w:hint="default" w:ascii="Times New Roman" w:hAnsi="Times New Roman" w:eastAsia="仿宋_GB2312"/>
                <w:b w:val="0"/>
                <w:bCs w:val="0"/>
                <w:color w:val="auto"/>
                <w:kern w:val="2"/>
                <w:sz w:val="21"/>
                <w:szCs w:val="21"/>
                <w:highlight w:val="none"/>
              </w:rPr>
              <w:t>资金支出方向</w:t>
            </w:r>
          </w:p>
        </w:tc>
        <w:tc>
          <w:tcPr>
            <w:tcW w:w="1162" w:type="pct"/>
            <w:vAlign w:val="center"/>
          </w:tcPr>
          <w:p w14:paraId="12F8745A">
            <w:pPr>
              <w:pStyle w:val="32"/>
              <w:keepNext w:val="0"/>
              <w:keepLines w:val="0"/>
              <w:suppressLineNumbers w:val="0"/>
              <w:spacing w:before="0" w:beforeAutospacing="0" w:after="0" w:afterAutospacing="0" w:line="240" w:lineRule="auto"/>
              <w:ind w:left="0" w:right="0"/>
              <w:jc w:val="center"/>
              <w:rPr>
                <w:rFonts w:hint="default" w:ascii="Times New Roman" w:hAnsi="Times New Roman" w:eastAsia="仿宋_GB2312"/>
                <w:b w:val="0"/>
                <w:bCs w:val="0"/>
                <w:color w:val="auto"/>
                <w:kern w:val="2"/>
                <w:sz w:val="21"/>
                <w:szCs w:val="21"/>
                <w:highlight w:val="none"/>
              </w:rPr>
            </w:pPr>
            <w:r>
              <w:rPr>
                <w:rFonts w:hint="default" w:ascii="Times New Roman" w:hAnsi="Times New Roman" w:eastAsia="仿宋_GB2312"/>
                <w:b w:val="0"/>
                <w:bCs w:val="0"/>
                <w:color w:val="auto"/>
                <w:kern w:val="2"/>
                <w:sz w:val="21"/>
                <w:szCs w:val="21"/>
                <w:highlight w:val="none"/>
              </w:rPr>
              <w:t>金额（万元）</w:t>
            </w:r>
          </w:p>
        </w:tc>
        <w:tc>
          <w:tcPr>
            <w:tcW w:w="703" w:type="pct"/>
            <w:vAlign w:val="center"/>
          </w:tcPr>
          <w:p w14:paraId="41446F11">
            <w:pPr>
              <w:pStyle w:val="32"/>
              <w:keepNext w:val="0"/>
              <w:keepLines w:val="0"/>
              <w:suppressLineNumbers w:val="0"/>
              <w:spacing w:before="0" w:beforeAutospacing="0" w:after="0" w:afterAutospacing="0" w:line="240" w:lineRule="auto"/>
              <w:ind w:left="0" w:right="0"/>
              <w:jc w:val="center"/>
              <w:rPr>
                <w:rFonts w:hint="default" w:ascii="Times New Roman" w:hAnsi="Times New Roman" w:eastAsia="仿宋_GB2312"/>
                <w:b w:val="0"/>
                <w:bCs w:val="0"/>
                <w:color w:val="auto"/>
                <w:kern w:val="2"/>
                <w:sz w:val="21"/>
                <w:szCs w:val="21"/>
                <w:highlight w:val="none"/>
              </w:rPr>
            </w:pPr>
            <w:r>
              <w:rPr>
                <w:rFonts w:hint="default" w:ascii="Times New Roman" w:hAnsi="Times New Roman" w:eastAsia="仿宋_GB2312"/>
                <w:b w:val="0"/>
                <w:bCs w:val="0"/>
                <w:color w:val="auto"/>
                <w:kern w:val="2"/>
                <w:sz w:val="21"/>
                <w:szCs w:val="21"/>
                <w:highlight w:val="none"/>
              </w:rPr>
              <w:t>备注</w:t>
            </w:r>
          </w:p>
        </w:tc>
      </w:tr>
      <w:tr w14:paraId="3334A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Borders>
              <w:top w:val="single" w:color="auto" w:sz="4" w:space="0"/>
              <w:left w:val="single" w:color="auto" w:sz="4" w:space="0"/>
              <w:bottom w:val="single" w:color="auto" w:sz="4" w:space="0"/>
              <w:right w:val="single" w:color="auto" w:sz="4" w:space="0"/>
            </w:tcBorders>
          </w:tcPr>
          <w:p w14:paraId="3F7F86B2">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1</w:t>
            </w:r>
          </w:p>
        </w:tc>
        <w:tc>
          <w:tcPr>
            <w:tcBorders>
              <w:top w:val="single" w:color="auto" w:sz="4" w:space="0"/>
              <w:left w:val="single" w:color="auto" w:sz="4" w:space="0"/>
              <w:bottom w:val="single" w:color="auto" w:sz="4" w:space="0"/>
              <w:right w:val="single" w:color="auto" w:sz="4" w:space="0"/>
            </w:tcBorders>
          </w:tcPr>
          <w:p w14:paraId="3BA061B2">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小型水库维修养护</w:t>
            </w:r>
          </w:p>
        </w:tc>
        <w:tc>
          <w:tcPr>
            <w:tcBorders>
              <w:top w:val="single" w:color="auto" w:sz="4" w:space="0"/>
              <w:left w:val="single" w:color="auto" w:sz="4" w:space="0"/>
              <w:bottom w:val="single" w:color="auto" w:sz="4" w:space="0"/>
              <w:right w:val="single" w:color="auto" w:sz="4" w:space="0"/>
            </w:tcBorders>
          </w:tcPr>
          <w:p w14:paraId="37B440A1">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40</w:t>
            </w:r>
          </w:p>
        </w:tc>
        <w:tc>
          <w:tcPr>
            <w:tcBorders>
              <w:top w:val="single" w:color="auto" w:sz="4" w:space="0"/>
              <w:left w:val="single" w:color="auto" w:sz="4" w:space="0"/>
              <w:bottom w:val="single" w:color="auto" w:sz="4" w:space="0"/>
              <w:right w:val="single" w:color="auto" w:sz="4" w:space="0"/>
            </w:tcBorders>
          </w:tcPr>
          <w:p w14:paraId="03D1EF2B">
            <w:pPr>
              <w:keepNext w:val="0"/>
              <w:keepLines w:val="0"/>
              <w:widowControl/>
              <w:suppressLineNumbers w:val="0"/>
              <w:spacing w:before="0" w:beforeAutospacing="0" w:after="0" w:afterAutospacing="0" w:line="180" w:lineRule="auto"/>
              <w:ind w:left="0" w:right="0" w:firstLine="0"/>
              <w:jc w:val="center"/>
              <w:rPr>
                <w:rFonts w:hint="default"/>
              </w:rPr>
            </w:pPr>
          </w:p>
        </w:tc>
      </w:tr>
      <w:tr w14:paraId="04AAE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Borders>
              <w:top w:val="single" w:color="auto" w:sz="4" w:space="0"/>
              <w:left w:val="single" w:color="auto" w:sz="4" w:space="0"/>
              <w:bottom w:val="single" w:color="auto" w:sz="4" w:space="0"/>
              <w:right w:val="single" w:color="auto" w:sz="4" w:space="0"/>
            </w:tcBorders>
          </w:tcPr>
          <w:p w14:paraId="5ECCC635">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2</w:t>
            </w:r>
          </w:p>
        </w:tc>
        <w:tc>
          <w:tcPr>
            <w:tcBorders>
              <w:top w:val="single" w:color="auto" w:sz="4" w:space="0"/>
              <w:left w:val="single" w:color="auto" w:sz="4" w:space="0"/>
              <w:bottom w:val="single" w:color="auto" w:sz="4" w:space="0"/>
              <w:right w:val="single" w:color="auto" w:sz="4" w:space="0"/>
            </w:tcBorders>
          </w:tcPr>
          <w:p w14:paraId="2D29CD3D">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白蚁防治</w:t>
            </w:r>
          </w:p>
        </w:tc>
        <w:tc>
          <w:tcPr>
            <w:tcBorders>
              <w:top w:val="single" w:color="auto" w:sz="4" w:space="0"/>
              <w:left w:val="single" w:color="auto" w:sz="4" w:space="0"/>
              <w:bottom w:val="single" w:color="auto" w:sz="4" w:space="0"/>
              <w:right w:val="single" w:color="auto" w:sz="4" w:space="0"/>
            </w:tcBorders>
          </w:tcPr>
          <w:p w14:paraId="259D5FF4">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31</w:t>
            </w:r>
          </w:p>
        </w:tc>
        <w:tc>
          <w:tcPr>
            <w:tcBorders>
              <w:top w:val="single" w:color="auto" w:sz="4" w:space="0"/>
              <w:left w:val="single" w:color="auto" w:sz="4" w:space="0"/>
              <w:bottom w:val="single" w:color="auto" w:sz="4" w:space="0"/>
              <w:right w:val="single" w:color="auto" w:sz="4" w:space="0"/>
            </w:tcBorders>
          </w:tcPr>
          <w:p w14:paraId="6957AE3F">
            <w:pPr>
              <w:keepNext w:val="0"/>
              <w:keepLines w:val="0"/>
              <w:widowControl/>
              <w:suppressLineNumbers w:val="0"/>
              <w:spacing w:before="0" w:beforeAutospacing="0" w:after="0" w:afterAutospacing="0" w:line="180" w:lineRule="auto"/>
              <w:ind w:left="0" w:right="0" w:firstLine="0"/>
              <w:jc w:val="center"/>
              <w:rPr>
                <w:rFonts w:hint="default"/>
              </w:rPr>
            </w:pPr>
          </w:p>
        </w:tc>
      </w:tr>
      <w:tr w14:paraId="48D18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Borders>
              <w:top w:val="single" w:color="auto" w:sz="4" w:space="0"/>
              <w:left w:val="single" w:color="auto" w:sz="4" w:space="0"/>
              <w:bottom w:val="single" w:color="auto" w:sz="4" w:space="0"/>
              <w:right w:val="single" w:color="auto" w:sz="4" w:space="0"/>
            </w:tcBorders>
          </w:tcPr>
          <w:p w14:paraId="50238455">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3</w:t>
            </w:r>
          </w:p>
        </w:tc>
        <w:tc>
          <w:tcPr>
            <w:tcBorders>
              <w:top w:val="single" w:color="auto" w:sz="4" w:space="0"/>
              <w:left w:val="single" w:color="auto" w:sz="4" w:space="0"/>
              <w:bottom w:val="single" w:color="auto" w:sz="4" w:space="0"/>
              <w:right w:val="single" w:color="auto" w:sz="4" w:space="0"/>
            </w:tcBorders>
          </w:tcPr>
          <w:p w14:paraId="6A41E17D">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农业水价综合改革</w:t>
            </w:r>
          </w:p>
        </w:tc>
        <w:tc>
          <w:tcPr>
            <w:tcBorders>
              <w:top w:val="single" w:color="auto" w:sz="4" w:space="0"/>
              <w:left w:val="single" w:color="auto" w:sz="4" w:space="0"/>
              <w:bottom w:val="single" w:color="auto" w:sz="4" w:space="0"/>
              <w:right w:val="single" w:color="auto" w:sz="4" w:space="0"/>
            </w:tcBorders>
          </w:tcPr>
          <w:p w14:paraId="63685A89">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24</w:t>
            </w:r>
          </w:p>
        </w:tc>
        <w:tc>
          <w:tcPr>
            <w:tcBorders>
              <w:top w:val="single" w:color="auto" w:sz="4" w:space="0"/>
              <w:left w:val="single" w:color="auto" w:sz="4" w:space="0"/>
              <w:bottom w:val="single" w:color="auto" w:sz="4" w:space="0"/>
              <w:right w:val="single" w:color="auto" w:sz="4" w:space="0"/>
            </w:tcBorders>
          </w:tcPr>
          <w:p w14:paraId="6F3899F5">
            <w:pPr>
              <w:keepNext w:val="0"/>
              <w:keepLines w:val="0"/>
              <w:widowControl/>
              <w:suppressLineNumbers w:val="0"/>
              <w:spacing w:before="0" w:beforeAutospacing="0" w:after="0" w:afterAutospacing="0" w:line="180" w:lineRule="auto"/>
              <w:ind w:left="0" w:right="0" w:firstLine="0"/>
              <w:jc w:val="center"/>
              <w:rPr>
                <w:rFonts w:hint="default"/>
              </w:rPr>
            </w:pPr>
          </w:p>
        </w:tc>
      </w:tr>
    </w:tbl>
    <w:p w14:paraId="6E9D05E2">
      <w:pPr>
        <w:ind w:firstLine="640"/>
        <w:rPr>
          <w:rFonts w:hint="eastAsia" w:eastAsia="仿宋_GB2312" w:cs="Times New Roman"/>
          <w:sz w:val="32"/>
          <w:highlight w:val="none"/>
          <w:lang w:val="en-US" w:eastAsia="zh-CN"/>
        </w:rPr>
      </w:pPr>
      <w:r>
        <w:rPr>
          <w:rFonts w:hint="eastAsia" w:cs="Times New Roman"/>
          <w:sz w:val="32"/>
          <w:highlight w:val="none"/>
        </w:rPr>
        <w:t>根据</w:t>
      </w:r>
      <w:r>
        <w:rPr>
          <w:rFonts w:hint="eastAsia" w:ascii="Times New Roman" w:hAnsi="Times New Roman" w:cs="Times New Roman"/>
          <w:sz w:val="32"/>
          <w:highlight w:val="none"/>
        </w:rPr>
        <w:t>《</w:t>
      </w:r>
      <w:r>
        <w:rPr>
          <w:rFonts w:hint="eastAsia" w:ascii="Times New Roman" w:hAnsi="Times New Roman" w:cs="Times New Roman"/>
          <w:color w:val="auto"/>
          <w:sz w:val="32"/>
          <w:highlight w:val="none"/>
          <w:u w:val="single"/>
        </w:rPr>
        <w:t>关于提前下达2024年中央水利发展资金预算的通知</w:t>
      </w:r>
      <w:r>
        <w:rPr>
          <w:rFonts w:hint="eastAsia" w:ascii="Times New Roman" w:hAnsi="Times New Roman" w:cs="Times New Roman"/>
          <w:sz w:val="32"/>
          <w:highlight w:val="none"/>
        </w:rPr>
        <w:t>》（</w:t>
      </w:r>
      <w:r>
        <w:rPr>
          <w:rFonts w:hint="eastAsia" w:ascii="Times New Roman" w:hAnsi="Times New Roman" w:cs="Times New Roman"/>
          <w:color w:val="auto"/>
          <w:sz w:val="32"/>
          <w:highlight w:val="none"/>
          <w:u w:val="single"/>
        </w:rPr>
        <w:t>韶财农〔2023〕114号</w:t>
      </w:r>
      <w:r>
        <w:rPr>
          <w:rFonts w:hint="eastAsia" w:ascii="Times New Roman" w:hAnsi="Times New Roman" w:cs="Times New Roman"/>
          <w:sz w:val="32"/>
          <w:highlight w:val="none"/>
        </w:rPr>
        <w:t>）</w:t>
      </w:r>
      <w:r>
        <w:rPr>
          <w:rFonts w:hint="eastAsia" w:cs="Times New Roman"/>
          <w:sz w:val="32"/>
          <w:highlight w:val="none"/>
          <w:lang w:eastAsia="zh-CN"/>
        </w:rPr>
        <w:t>、</w:t>
      </w:r>
      <w:r>
        <w:rPr>
          <w:rFonts w:hint="eastAsia" w:ascii="Times New Roman" w:hAnsi="Times New Roman" w:cs="Times New Roman"/>
          <w:sz w:val="32"/>
          <w:highlight w:val="none"/>
        </w:rPr>
        <w:t>《</w:t>
      </w:r>
      <w:r>
        <w:rPr>
          <w:rFonts w:hint="eastAsia" w:ascii="Times New Roman" w:hAnsi="Times New Roman" w:cs="Times New Roman"/>
          <w:color w:val="auto"/>
          <w:sz w:val="32"/>
          <w:highlight w:val="none"/>
          <w:u w:val="single"/>
        </w:rPr>
        <w:t>关于下达2024年中央水利发展资金预算的通知》</w:t>
      </w:r>
      <w:r>
        <w:rPr>
          <w:rFonts w:hint="eastAsia" w:ascii="Times New Roman" w:hAnsi="Times New Roman" w:cs="Times New Roman"/>
          <w:sz w:val="32"/>
          <w:highlight w:val="none"/>
        </w:rPr>
        <w:t>（</w:t>
      </w:r>
      <w:r>
        <w:rPr>
          <w:rFonts w:hint="eastAsia" w:ascii="Times New Roman" w:hAnsi="Times New Roman" w:cs="Times New Roman"/>
          <w:color w:val="auto"/>
          <w:sz w:val="32"/>
          <w:highlight w:val="none"/>
          <w:u w:val="single"/>
          <w:lang w:val="en-US" w:eastAsia="zh-CN"/>
        </w:rPr>
        <w:t>韶财农〔2024〕6 号</w:t>
      </w:r>
      <w:r>
        <w:rPr>
          <w:rFonts w:hint="eastAsia" w:ascii="Times New Roman" w:hAnsi="Times New Roman" w:cs="Times New Roman"/>
          <w:color w:val="auto"/>
          <w:sz w:val="32"/>
          <w:highlight w:val="none"/>
          <w:u w:val="single"/>
        </w:rPr>
        <w:t>）</w:t>
      </w:r>
      <w:r>
        <w:rPr>
          <w:rFonts w:hint="eastAsia" w:cs="Times New Roman"/>
          <w:sz w:val="32"/>
          <w:highlight w:val="none"/>
        </w:rPr>
        <w:t>绩效目标为：小型水库工程维修养护座数14座、小型水库白蚁等害堤动物日常检查座数30座、堤防白蚁等害堤动物日常检查长度33.01公里、农业水价综合改革面积3.92万亩、其他水利工程设施维修养护覆盖服务人口2.156万人。</w:t>
      </w:r>
    </w:p>
    <w:p w14:paraId="5B6CC26F">
      <w:pPr>
        <w:pStyle w:val="4"/>
        <w:pageBreakBefore w:val="0"/>
        <w:kinsoku/>
        <w:wordWrap/>
        <w:overflowPunct/>
        <w:topLinePunct w:val="0"/>
        <w:autoSpaceDE/>
        <w:autoSpaceDN/>
        <w:bidi w:val="0"/>
        <w:adjustRightInd/>
        <w:snapToGrid/>
        <w:spacing w:line="360" w:lineRule="auto"/>
        <w:ind w:firstLine="643"/>
        <w:textAlignment w:val="auto"/>
        <w:rPr>
          <w:rFonts w:hint="default" w:ascii="Times New Roman" w:hAnsi="Times New Roman" w:eastAsia="楷体_GB2312" w:cs="Times New Roman"/>
          <w:b/>
          <w:bCs w:val="0"/>
          <w:sz w:val="32"/>
          <w:highlight w:val="none"/>
        </w:rPr>
      </w:pPr>
      <w:r>
        <w:rPr>
          <w:rFonts w:hint="default" w:ascii="Times New Roman" w:hAnsi="Times New Roman" w:eastAsia="楷体_GB2312" w:cs="Times New Roman"/>
          <w:b/>
          <w:bCs w:val="0"/>
          <w:sz w:val="32"/>
          <w:highlight w:val="none"/>
        </w:rPr>
        <w:t>（三）实施项目情况</w:t>
      </w:r>
    </w:p>
    <w:p w14:paraId="490D6B81">
      <w:pPr>
        <w:keepNext w:val="0"/>
        <w:keepLines w:val="0"/>
        <w:widowControl/>
        <w:suppressLineNumbers w:val="0"/>
        <w:jc w:val="left"/>
        <w:rPr>
          <w:rFonts w:hint="default" w:ascii="Times New Roman" w:hAnsi="Times New Roman" w:eastAsia="仿宋_GB2312" w:cs="Times New Roman"/>
          <w:color w:val="auto"/>
          <w:kern w:val="2"/>
          <w:sz w:val="32"/>
          <w:highlight w:val="none"/>
          <w:u w:val="none"/>
        </w:rPr>
      </w:pPr>
      <w:r>
        <w:rPr>
          <w:rFonts w:hint="eastAsia" w:ascii="Times New Roman" w:hAnsi="Times New Roman" w:eastAsia="仿宋_GB2312"/>
          <w:color w:val="auto"/>
          <w:kern w:val="2"/>
          <w:sz w:val="32"/>
          <w:highlight w:val="none"/>
          <w:lang w:val="en-US" w:eastAsia="zh-CN"/>
        </w:rPr>
        <w:t>2024</w:t>
      </w:r>
      <w:r>
        <w:rPr>
          <w:rFonts w:ascii="Times New Roman" w:hAnsi="Times New Roman" w:eastAsia="仿宋_GB2312"/>
          <w:color w:val="auto"/>
          <w:kern w:val="2"/>
          <w:sz w:val="32"/>
          <w:highlight w:val="none"/>
        </w:rPr>
        <w:t>年度，</w:t>
      </w:r>
      <w:r>
        <w:rPr>
          <w:rFonts w:hint="eastAsia" w:ascii="Times New Roman" w:hAnsi="Times New Roman" w:eastAsia="仿宋_GB2312" w:cs="Times New Roman"/>
          <w:color w:val="auto"/>
          <w:kern w:val="2"/>
          <w:sz w:val="32"/>
          <w:szCs w:val="22"/>
          <w:highlight w:val="none"/>
          <w:u w:val="single"/>
          <w:lang w:val="en-US" w:eastAsia="zh-CN" w:bidi="ar-SA"/>
        </w:rPr>
        <w:t>韶关市曲江区</w:t>
      </w:r>
      <w:r>
        <w:rPr>
          <w:rFonts w:ascii="Times New Roman" w:hAnsi="Times New Roman" w:eastAsia="仿宋_GB2312"/>
          <w:color w:val="auto"/>
          <w:kern w:val="2"/>
          <w:sz w:val="32"/>
          <w:highlight w:val="none"/>
          <w:u w:val="none"/>
        </w:rPr>
        <w:t>中央水利发展资金实施项目为</w:t>
      </w:r>
      <w:r>
        <w:rPr>
          <w:rFonts w:hint="eastAsia" w:ascii="Times New Roman" w:hAnsi="Times New Roman" w:eastAsia="仿宋_GB2312"/>
          <w:color w:val="auto"/>
          <w:kern w:val="2"/>
          <w:sz w:val="32"/>
          <w:highlight w:val="none"/>
          <w:u w:val="none"/>
          <w:lang w:val="en-US" w:eastAsia="zh-CN"/>
        </w:rPr>
        <w:t>3</w:t>
      </w:r>
      <w:r>
        <w:rPr>
          <w:rFonts w:ascii="Times New Roman" w:hAnsi="Times New Roman" w:eastAsia="仿宋_GB2312"/>
          <w:color w:val="auto"/>
          <w:kern w:val="2"/>
          <w:sz w:val="32"/>
          <w:highlight w:val="none"/>
        </w:rPr>
        <w:t>宗。</w:t>
      </w:r>
      <w:r>
        <w:rPr>
          <w:rFonts w:hint="default" w:ascii="Times New Roman" w:hAnsi="Times New Roman" w:eastAsia="仿宋_GB2312"/>
          <w:color w:val="auto"/>
          <w:kern w:val="2"/>
          <w:sz w:val="32"/>
          <w:highlight w:val="none"/>
          <w:u w:val="none"/>
        </w:rPr>
        <w:cr/>
      </w:r>
      <w:r>
        <w:rPr>
          <w:rFonts w:hint="default" w:ascii="Times New Roman" w:hAnsi="Times New Roman" w:eastAsia="仿宋_GB2312"/>
          <w:color w:val="auto"/>
          <w:kern w:val="2"/>
          <w:sz w:val="32"/>
          <w:highlight w:val="none"/>
          <w:u w:val="none"/>
        </w:rPr>
        <w:t xml:space="preserve">    1、2024年曲江区小型水库工程设施维修养护：主要建设内容为：对曲江区14宗小型水库工程设施进行维修养护，下达2024年度中央资金40万，项目于2025年05月04日完工，2025年05月29日完成验收。</w:t>
      </w:r>
      <w:r>
        <w:rPr>
          <w:rFonts w:hint="default" w:ascii="Times New Roman" w:hAnsi="Times New Roman" w:eastAsia="仿宋_GB2312"/>
          <w:color w:val="auto"/>
          <w:kern w:val="2"/>
          <w:sz w:val="32"/>
          <w:highlight w:val="none"/>
          <w:u w:val="none"/>
        </w:rPr>
        <w:cr/>
      </w:r>
      <w:r>
        <w:rPr>
          <w:rFonts w:hint="default" w:ascii="Times New Roman" w:hAnsi="Times New Roman" w:eastAsia="仿宋_GB2312"/>
          <w:color w:val="auto"/>
          <w:kern w:val="2"/>
          <w:sz w:val="32"/>
          <w:highlight w:val="none"/>
          <w:u w:val="none"/>
        </w:rPr>
        <w:t xml:space="preserve">    2、2024年曲江区白蚁等害堤动物防治：主要建设内容为：</w:t>
      </w:r>
      <w:r>
        <w:rPr>
          <w:rFonts w:hint="eastAsia" w:ascii="Times New Roman" w:hAnsi="Times New Roman" w:eastAsia="仿宋_GB2312"/>
          <w:color w:val="auto"/>
          <w:kern w:val="2"/>
          <w:sz w:val="32"/>
          <w:highlight w:val="none"/>
          <w:u w:val="none"/>
          <w:lang w:eastAsia="zh-CN"/>
        </w:rPr>
        <w:t>（</w:t>
      </w:r>
      <w:r>
        <w:rPr>
          <w:rFonts w:hint="eastAsia" w:ascii="Times New Roman" w:hAnsi="Times New Roman" w:eastAsia="仿宋_GB2312"/>
          <w:color w:val="auto"/>
          <w:kern w:val="2"/>
          <w:sz w:val="32"/>
          <w:highlight w:val="none"/>
          <w:u w:val="none"/>
          <w:lang w:val="en-US" w:eastAsia="zh-CN"/>
        </w:rPr>
        <w:t>1</w:t>
      </w:r>
      <w:r>
        <w:rPr>
          <w:rFonts w:hint="eastAsia" w:ascii="Times New Roman" w:hAnsi="Times New Roman" w:eastAsia="仿宋_GB2312"/>
          <w:color w:val="auto"/>
          <w:kern w:val="2"/>
          <w:sz w:val="32"/>
          <w:highlight w:val="none"/>
          <w:u w:val="none"/>
          <w:lang w:eastAsia="zh-CN"/>
        </w:rPr>
        <w:t>）</w:t>
      </w:r>
      <w:r>
        <w:rPr>
          <w:rFonts w:hint="default" w:ascii="Times New Roman" w:hAnsi="Times New Roman" w:eastAsia="仿宋_GB2312"/>
          <w:color w:val="auto"/>
          <w:kern w:val="2"/>
          <w:sz w:val="32"/>
          <w:highlight w:val="none"/>
          <w:u w:val="none"/>
        </w:rPr>
        <w:t>韶关市曲江区2024年城区防洪工程白蚁等堤害动物防治项目</w:t>
      </w:r>
      <w:r>
        <w:rPr>
          <w:rFonts w:hint="eastAsia"/>
          <w:color w:val="auto"/>
          <w:kern w:val="2"/>
          <w:sz w:val="32"/>
          <w:highlight w:val="none"/>
          <w:u w:val="none"/>
          <w:lang w:eastAsia="zh-CN"/>
        </w:rPr>
        <w:t>：</w:t>
      </w:r>
      <w:r>
        <w:rPr>
          <w:rFonts w:hint="eastAsia" w:ascii="Times New Roman" w:hAnsi="Times New Roman" w:eastAsia="仿宋_GB2312"/>
          <w:color w:val="auto"/>
          <w:kern w:val="2"/>
          <w:sz w:val="32"/>
          <w:highlight w:val="none"/>
          <w:u w:val="none"/>
          <w:lang w:eastAsia="zh-CN"/>
        </w:rPr>
        <w:t>完成</w:t>
      </w:r>
      <w:r>
        <w:rPr>
          <w:rFonts w:hint="default" w:ascii="Times New Roman" w:hAnsi="Times New Roman" w:eastAsia="仿宋_GB2312"/>
          <w:color w:val="auto"/>
          <w:kern w:val="2"/>
          <w:sz w:val="32"/>
          <w:highlight w:val="none"/>
          <w:u w:val="none"/>
          <w:lang w:val="en-US" w:eastAsia="zh-CN"/>
        </w:rPr>
        <w:t>曲江城区33</w:t>
      </w:r>
      <w:r>
        <w:rPr>
          <w:rFonts w:hint="eastAsia" w:ascii="Times New Roman" w:hAnsi="Times New Roman" w:eastAsia="仿宋_GB2312"/>
          <w:color w:val="auto"/>
          <w:kern w:val="2"/>
          <w:sz w:val="32"/>
          <w:highlight w:val="none"/>
          <w:u w:val="none"/>
          <w:lang w:val="en-US" w:eastAsia="zh-CN"/>
        </w:rPr>
        <w:t>.01</w:t>
      </w:r>
      <w:r>
        <w:rPr>
          <w:rFonts w:hint="default" w:ascii="Times New Roman" w:hAnsi="Times New Roman" w:eastAsia="仿宋_GB2312"/>
          <w:color w:val="auto"/>
          <w:kern w:val="2"/>
          <w:sz w:val="32"/>
          <w:highlight w:val="none"/>
          <w:u w:val="none"/>
          <w:lang w:val="en-US" w:eastAsia="zh-CN"/>
        </w:rPr>
        <w:t>km堤防白蚁等害堤</w:t>
      </w:r>
      <w:r>
        <w:rPr>
          <w:rFonts w:hint="eastAsia" w:ascii="Times New Roman" w:hAnsi="Times New Roman" w:eastAsia="仿宋_GB2312"/>
          <w:color w:val="auto"/>
          <w:kern w:val="2"/>
          <w:sz w:val="32"/>
          <w:highlight w:val="none"/>
          <w:u w:val="none"/>
          <w:lang w:val="en-US" w:eastAsia="zh-CN"/>
        </w:rPr>
        <w:t>动物防治；</w:t>
      </w:r>
      <w:r>
        <w:rPr>
          <w:rFonts w:hint="eastAsia" w:ascii="Times New Roman" w:hAnsi="Times New Roman" w:eastAsia="仿宋_GB2312"/>
          <w:color w:val="auto"/>
          <w:kern w:val="2"/>
          <w:sz w:val="32"/>
          <w:highlight w:val="none"/>
          <w:u w:val="none"/>
          <w:lang w:eastAsia="zh-CN"/>
        </w:rPr>
        <w:t>（</w:t>
      </w:r>
      <w:r>
        <w:rPr>
          <w:rFonts w:hint="eastAsia" w:ascii="Times New Roman" w:hAnsi="Times New Roman" w:eastAsia="仿宋_GB2312"/>
          <w:color w:val="auto"/>
          <w:kern w:val="2"/>
          <w:sz w:val="32"/>
          <w:highlight w:val="none"/>
          <w:u w:val="none"/>
          <w:lang w:val="en-US" w:eastAsia="zh-CN"/>
        </w:rPr>
        <w:t>2</w:t>
      </w:r>
      <w:r>
        <w:rPr>
          <w:rFonts w:hint="eastAsia" w:ascii="Times New Roman" w:hAnsi="Times New Roman" w:eastAsia="仿宋_GB2312"/>
          <w:color w:val="auto"/>
          <w:kern w:val="2"/>
          <w:sz w:val="32"/>
          <w:highlight w:val="none"/>
          <w:u w:val="none"/>
          <w:lang w:eastAsia="zh-CN"/>
        </w:rPr>
        <w:t>）</w:t>
      </w:r>
      <w:r>
        <w:rPr>
          <w:rFonts w:hint="default" w:ascii="Times New Roman" w:hAnsi="Times New Roman" w:eastAsia="仿宋_GB2312"/>
          <w:color w:val="auto"/>
          <w:kern w:val="2"/>
          <w:sz w:val="32"/>
          <w:highlight w:val="none"/>
          <w:u w:val="none"/>
        </w:rPr>
        <w:t>韶关市曲江区2024年小型水库工程白蚁等害堤动物防治项目</w:t>
      </w:r>
      <w:r>
        <w:rPr>
          <w:rFonts w:hint="eastAsia" w:ascii="Times New Roman" w:hAnsi="Times New Roman" w:eastAsia="仿宋_GB2312"/>
          <w:color w:val="auto"/>
          <w:kern w:val="2"/>
          <w:sz w:val="32"/>
          <w:highlight w:val="none"/>
          <w:u w:val="none"/>
          <w:lang w:eastAsia="zh-CN"/>
        </w:rPr>
        <w:t>：</w:t>
      </w:r>
      <w:r>
        <w:rPr>
          <w:rFonts w:hint="eastAsia"/>
          <w:color w:val="auto"/>
          <w:kern w:val="2"/>
          <w:sz w:val="32"/>
          <w:highlight w:val="none"/>
          <w:u w:val="none"/>
          <w:lang w:eastAsia="zh-CN"/>
        </w:rPr>
        <w:t>完</w:t>
      </w:r>
      <w:r>
        <w:rPr>
          <w:rFonts w:hint="eastAsia" w:ascii="Times New Roman" w:hAnsi="Times New Roman" w:eastAsia="仿宋_GB2312"/>
          <w:color w:val="auto"/>
          <w:kern w:val="2"/>
          <w:sz w:val="32"/>
          <w:highlight w:val="none"/>
          <w:u w:val="none"/>
          <w:lang w:eastAsia="zh-CN"/>
        </w:rPr>
        <w:t>成</w:t>
      </w:r>
      <w:r>
        <w:rPr>
          <w:rFonts w:hint="default" w:ascii="Times New Roman" w:hAnsi="Times New Roman" w:eastAsia="仿宋_GB2312"/>
          <w:color w:val="auto"/>
          <w:kern w:val="2"/>
          <w:sz w:val="32"/>
          <w:highlight w:val="none"/>
          <w:u w:val="none"/>
          <w:lang w:val="en-US" w:eastAsia="zh-CN"/>
        </w:rPr>
        <w:t>曲江区30宗小型水库白蚁</w:t>
      </w:r>
      <w:r>
        <w:rPr>
          <w:rFonts w:hint="eastAsia" w:ascii="Times New Roman" w:hAnsi="Times New Roman" w:eastAsia="仿宋_GB2312"/>
          <w:color w:val="auto"/>
          <w:kern w:val="2"/>
          <w:sz w:val="32"/>
          <w:highlight w:val="none"/>
          <w:u w:val="none"/>
          <w:lang w:val="en-US" w:eastAsia="zh-CN"/>
        </w:rPr>
        <w:t>等害堤动物防治</w:t>
      </w:r>
      <w:r>
        <w:rPr>
          <w:rFonts w:hint="eastAsia"/>
          <w:color w:val="auto"/>
          <w:kern w:val="2"/>
          <w:sz w:val="32"/>
          <w:highlight w:val="none"/>
          <w:u w:val="none"/>
          <w:lang w:val="en-US" w:eastAsia="zh-CN"/>
        </w:rPr>
        <w:t>，</w:t>
      </w:r>
      <w:r>
        <w:rPr>
          <w:rFonts w:hint="default" w:ascii="Times New Roman" w:hAnsi="Times New Roman" w:eastAsia="仿宋_GB2312"/>
          <w:color w:val="auto"/>
          <w:kern w:val="2"/>
          <w:sz w:val="32"/>
          <w:highlight w:val="none"/>
          <w:u w:val="none"/>
        </w:rPr>
        <w:t>下达2024年度中央资金31万，项目于2024年10月07日完工，2025年01月16日完成验收。</w:t>
      </w:r>
      <w:r>
        <w:rPr>
          <w:rFonts w:hint="default" w:ascii="Times New Roman" w:hAnsi="Times New Roman" w:eastAsia="仿宋_GB2312"/>
          <w:color w:val="auto"/>
          <w:kern w:val="2"/>
          <w:sz w:val="32"/>
          <w:highlight w:val="none"/>
          <w:u w:val="none"/>
        </w:rPr>
        <w:cr/>
      </w:r>
      <w:r>
        <w:rPr>
          <w:rFonts w:hint="default" w:ascii="Times New Roman" w:hAnsi="Times New Roman" w:eastAsia="仿宋_GB2312"/>
          <w:color w:val="auto"/>
          <w:kern w:val="2"/>
          <w:sz w:val="32"/>
          <w:highlight w:val="none"/>
          <w:u w:val="none"/>
        </w:rPr>
        <w:t xml:space="preserve">    3、2024年曲江区农业水价综合改革：主要建设内容为：小坑水库灌区渠道防渗处理、滑坡土方及淤泥清运等，下达2024年度中央资金24万，项目于2024年0</w:t>
      </w:r>
      <w:r>
        <w:rPr>
          <w:rFonts w:hint="eastAsia"/>
          <w:color w:val="auto"/>
          <w:kern w:val="2"/>
          <w:sz w:val="32"/>
          <w:highlight w:val="none"/>
          <w:u w:val="none"/>
          <w:lang w:val="en-US" w:eastAsia="zh-CN"/>
        </w:rPr>
        <w:t>7</w:t>
      </w:r>
      <w:r>
        <w:rPr>
          <w:rFonts w:hint="default" w:ascii="Times New Roman" w:hAnsi="Times New Roman" w:eastAsia="仿宋_GB2312"/>
          <w:color w:val="auto"/>
          <w:kern w:val="2"/>
          <w:sz w:val="32"/>
          <w:highlight w:val="none"/>
          <w:u w:val="none"/>
        </w:rPr>
        <w:t>月</w:t>
      </w:r>
      <w:r>
        <w:rPr>
          <w:rFonts w:hint="eastAsia"/>
          <w:color w:val="auto"/>
          <w:kern w:val="2"/>
          <w:sz w:val="32"/>
          <w:highlight w:val="none"/>
          <w:u w:val="none"/>
          <w:lang w:val="en-US" w:eastAsia="zh-CN"/>
        </w:rPr>
        <w:t>25</w:t>
      </w:r>
      <w:r>
        <w:rPr>
          <w:rFonts w:hint="default" w:ascii="Times New Roman" w:hAnsi="Times New Roman" w:eastAsia="仿宋_GB2312"/>
          <w:color w:val="auto"/>
          <w:kern w:val="2"/>
          <w:sz w:val="32"/>
          <w:highlight w:val="none"/>
          <w:u w:val="none"/>
        </w:rPr>
        <w:t>日完工，2024年0</w:t>
      </w:r>
      <w:r>
        <w:rPr>
          <w:rFonts w:hint="eastAsia"/>
          <w:color w:val="auto"/>
          <w:kern w:val="2"/>
          <w:sz w:val="32"/>
          <w:highlight w:val="none"/>
          <w:u w:val="none"/>
          <w:lang w:val="en-US" w:eastAsia="zh-CN"/>
        </w:rPr>
        <w:t>7</w:t>
      </w:r>
      <w:r>
        <w:rPr>
          <w:rFonts w:hint="default" w:ascii="Times New Roman" w:hAnsi="Times New Roman" w:eastAsia="仿宋_GB2312"/>
          <w:color w:val="auto"/>
          <w:kern w:val="2"/>
          <w:sz w:val="32"/>
          <w:highlight w:val="none"/>
          <w:u w:val="none"/>
        </w:rPr>
        <w:t>月</w:t>
      </w:r>
      <w:r>
        <w:rPr>
          <w:rFonts w:hint="eastAsia"/>
          <w:color w:val="auto"/>
          <w:kern w:val="2"/>
          <w:sz w:val="32"/>
          <w:highlight w:val="none"/>
          <w:u w:val="none"/>
          <w:lang w:val="en-US" w:eastAsia="zh-CN"/>
        </w:rPr>
        <w:t>26</w:t>
      </w:r>
      <w:r>
        <w:rPr>
          <w:rFonts w:hint="default" w:ascii="Times New Roman" w:hAnsi="Times New Roman" w:eastAsia="仿宋_GB2312"/>
          <w:color w:val="auto"/>
          <w:kern w:val="2"/>
          <w:sz w:val="32"/>
          <w:highlight w:val="none"/>
          <w:u w:val="none"/>
        </w:rPr>
        <w:t>日完成验收。</w:t>
      </w:r>
      <w:r>
        <w:rPr>
          <w:rFonts w:hint="default" w:ascii="Times New Roman" w:hAnsi="Times New Roman" w:eastAsia="仿宋_GB2312"/>
          <w:color w:val="auto"/>
          <w:kern w:val="2"/>
          <w:sz w:val="32"/>
          <w:highlight w:val="none"/>
          <w:u w:val="none"/>
        </w:rPr>
        <w:cr/>
      </w:r>
    </w:p>
    <w:p w14:paraId="2810C4A8">
      <w:pPr>
        <w:pStyle w:val="4"/>
        <w:pageBreakBefore w:val="0"/>
        <w:kinsoku/>
        <w:wordWrap/>
        <w:overflowPunct/>
        <w:topLinePunct w:val="0"/>
        <w:autoSpaceDE/>
        <w:autoSpaceDN/>
        <w:bidi w:val="0"/>
        <w:adjustRightInd/>
        <w:snapToGrid/>
        <w:spacing w:line="360" w:lineRule="auto"/>
        <w:ind w:firstLine="643"/>
        <w:textAlignment w:val="auto"/>
        <w:rPr>
          <w:rFonts w:hint="default" w:ascii="Times New Roman" w:hAnsi="Times New Roman" w:eastAsia="楷体_GB2312" w:cs="Times New Roman"/>
          <w:b/>
          <w:bCs w:val="0"/>
          <w:sz w:val="32"/>
          <w:highlight w:val="none"/>
        </w:rPr>
      </w:pPr>
      <w:r>
        <w:rPr>
          <w:rFonts w:hint="default" w:ascii="Times New Roman" w:hAnsi="Times New Roman" w:eastAsia="楷体_GB2312" w:cs="Times New Roman"/>
          <w:b/>
          <w:bCs w:val="0"/>
          <w:sz w:val="32"/>
          <w:highlight w:val="none"/>
        </w:rPr>
        <w:t>（四）各级政府支出责任履行情况</w:t>
      </w:r>
    </w:p>
    <w:p w14:paraId="36F8250C">
      <w:pPr>
        <w:pStyle w:val="2"/>
        <w:ind w:firstLine="31680"/>
        <w:rPr>
          <w:rFonts w:hint="default" w:ascii="Times New Roman" w:hAnsi="Times New Roman" w:cs="Times New Roman"/>
          <w:sz w:val="32"/>
          <w:highlight w:val="none"/>
          <w:u w:val="single"/>
        </w:rPr>
      </w:pPr>
      <w:r>
        <w:rPr>
          <w:rFonts w:hint="eastAsia" w:ascii="Times New Roman" w:hAnsi="Times New Roman" w:eastAsia="仿宋_GB2312" w:cs="Times New Roman"/>
          <w:color w:val="auto"/>
          <w:kern w:val="2"/>
          <w:sz w:val="32"/>
          <w:szCs w:val="22"/>
          <w:highlight w:val="none"/>
          <w:u w:val="single"/>
          <w:lang w:val="en-US" w:eastAsia="zh-CN" w:bidi="ar-SA"/>
        </w:rPr>
        <w:t>202</w:t>
      </w:r>
      <w:r>
        <w:rPr>
          <w:rFonts w:hint="eastAsia" w:cs="Times New Roman"/>
          <w:color w:val="auto"/>
          <w:kern w:val="2"/>
          <w:sz w:val="32"/>
          <w:szCs w:val="22"/>
          <w:highlight w:val="none"/>
          <w:u w:val="single"/>
          <w:lang w:val="en-US" w:eastAsia="zh-CN" w:bidi="ar-SA"/>
        </w:rPr>
        <w:t>4</w:t>
      </w:r>
      <w:r>
        <w:rPr>
          <w:rFonts w:hint="eastAsia" w:ascii="Times New Roman" w:hAnsi="Times New Roman" w:eastAsia="仿宋_GB2312" w:cs="Times New Roman"/>
          <w:color w:val="auto"/>
          <w:kern w:val="2"/>
          <w:sz w:val="32"/>
          <w:szCs w:val="22"/>
          <w:highlight w:val="none"/>
          <w:u w:val="single"/>
          <w:lang w:val="en-US" w:eastAsia="zh-CN" w:bidi="ar-SA"/>
        </w:rPr>
        <w:t>年至202</w:t>
      </w:r>
      <w:r>
        <w:rPr>
          <w:rFonts w:hint="eastAsia" w:cs="Times New Roman"/>
          <w:color w:val="auto"/>
          <w:kern w:val="2"/>
          <w:sz w:val="32"/>
          <w:szCs w:val="22"/>
          <w:highlight w:val="none"/>
          <w:u w:val="single"/>
          <w:lang w:val="en-US" w:eastAsia="zh-CN" w:bidi="ar-SA"/>
        </w:rPr>
        <w:t>5</w:t>
      </w:r>
      <w:r>
        <w:rPr>
          <w:rFonts w:hint="eastAsia" w:ascii="Times New Roman" w:hAnsi="Times New Roman" w:eastAsia="仿宋_GB2312" w:cs="Times New Roman"/>
          <w:color w:val="auto"/>
          <w:kern w:val="2"/>
          <w:sz w:val="32"/>
          <w:szCs w:val="22"/>
          <w:highlight w:val="none"/>
          <w:u w:val="single"/>
          <w:lang w:val="en-US" w:eastAsia="zh-CN" w:bidi="ar-SA"/>
        </w:rPr>
        <w:t>年6月</w:t>
      </w:r>
      <w:r>
        <w:rPr>
          <w:rFonts w:hint="eastAsia" w:ascii="仿宋_GB2312" w:hAnsi="仿宋_GB2312" w:cs="仿宋_GB2312"/>
          <w:sz w:val="32"/>
          <w:szCs w:val="32"/>
        </w:rPr>
        <w:t>，我单位中央水利发展资金支出合计</w:t>
      </w:r>
      <w:r>
        <w:rPr>
          <w:rFonts w:hint="eastAsia" w:cs="Times New Roman"/>
          <w:color w:val="auto"/>
          <w:kern w:val="2"/>
          <w:sz w:val="32"/>
          <w:szCs w:val="22"/>
          <w:highlight w:val="none"/>
          <w:u w:val="single"/>
          <w:lang w:val="en-US" w:eastAsia="zh-CN" w:bidi="ar-SA"/>
        </w:rPr>
        <w:t>24.31</w:t>
      </w:r>
      <w:r>
        <w:rPr>
          <w:rFonts w:hint="eastAsia" w:ascii="仿宋_GB2312" w:hAnsi="仿宋_GB2312" w:cs="仿宋_GB2312"/>
          <w:sz w:val="32"/>
          <w:szCs w:val="32"/>
        </w:rPr>
        <w:t>万元，其中</w:t>
      </w:r>
      <w:r>
        <w:rPr>
          <w:rFonts w:hint="default" w:ascii="Times New Roman" w:hAnsi="Times New Roman" w:eastAsia="仿宋_GB2312"/>
          <w:color w:val="auto"/>
          <w:kern w:val="2"/>
          <w:sz w:val="32"/>
          <w:highlight w:val="none"/>
          <w:u w:val="none"/>
        </w:rPr>
        <w:t>2024年曲江区小型水库工程设施维修养护</w:t>
      </w:r>
      <w:r>
        <w:rPr>
          <w:rFonts w:hint="eastAsia" w:ascii="仿宋_GB2312" w:hAnsi="仿宋_GB2312" w:cs="仿宋_GB2312"/>
          <w:sz w:val="32"/>
          <w:szCs w:val="32"/>
        </w:rPr>
        <w:t>项目已支付</w:t>
      </w:r>
      <w:r>
        <w:rPr>
          <w:rFonts w:hint="eastAsia" w:ascii="Times New Roman" w:hAnsi="Times New Roman" w:eastAsia="仿宋_GB2312" w:cs="Times New Roman"/>
          <w:color w:val="auto"/>
          <w:kern w:val="2"/>
          <w:sz w:val="32"/>
          <w:szCs w:val="22"/>
          <w:highlight w:val="none"/>
          <w:u w:val="single"/>
          <w:lang w:val="en-US" w:eastAsia="zh-CN" w:bidi="ar-SA"/>
        </w:rPr>
        <w:t>4</w:t>
      </w:r>
      <w:r>
        <w:rPr>
          <w:rFonts w:hint="eastAsia" w:ascii="仿宋_GB2312" w:hAnsi="仿宋_GB2312" w:cs="仿宋_GB2312"/>
          <w:sz w:val="32"/>
          <w:szCs w:val="32"/>
        </w:rPr>
        <w:t>万元，占总支出的</w:t>
      </w:r>
      <w:r>
        <w:rPr>
          <w:rFonts w:hint="eastAsia" w:ascii="Times New Roman" w:hAnsi="Times New Roman" w:eastAsia="仿宋_GB2312" w:cs="Times New Roman"/>
          <w:color w:val="auto"/>
          <w:kern w:val="2"/>
          <w:sz w:val="32"/>
          <w:szCs w:val="22"/>
          <w:highlight w:val="none"/>
          <w:u w:val="single"/>
          <w:lang w:val="en-US" w:eastAsia="zh-CN" w:bidi="ar-SA"/>
        </w:rPr>
        <w:t>16.45%</w:t>
      </w:r>
      <w:r>
        <w:rPr>
          <w:rFonts w:hint="eastAsia" w:ascii="仿宋_GB2312" w:hAnsi="仿宋_GB2312" w:cs="仿宋_GB2312"/>
          <w:sz w:val="32"/>
          <w:szCs w:val="32"/>
        </w:rPr>
        <w:t>；</w:t>
      </w:r>
      <w:r>
        <w:rPr>
          <w:rFonts w:hint="default" w:ascii="Times New Roman" w:hAnsi="Times New Roman" w:eastAsia="仿宋_GB2312"/>
          <w:color w:val="auto"/>
          <w:kern w:val="2"/>
          <w:sz w:val="32"/>
          <w:highlight w:val="none"/>
          <w:u w:val="none"/>
        </w:rPr>
        <w:t>2024年曲江区白蚁等害堤动物防治</w:t>
      </w:r>
      <w:r>
        <w:rPr>
          <w:rFonts w:hint="eastAsia"/>
          <w:color w:val="auto"/>
          <w:kern w:val="2"/>
          <w:sz w:val="32"/>
          <w:highlight w:val="none"/>
          <w:u w:val="none"/>
          <w:lang w:eastAsia="zh-CN"/>
        </w:rPr>
        <w:t>项目</w:t>
      </w:r>
      <w:r>
        <w:rPr>
          <w:rFonts w:hint="eastAsia" w:ascii="仿宋_GB2312" w:hAnsi="仿宋_GB2312" w:cs="仿宋_GB2312"/>
          <w:sz w:val="32"/>
          <w:szCs w:val="32"/>
        </w:rPr>
        <w:t>已支付</w:t>
      </w:r>
      <w:r>
        <w:rPr>
          <w:rFonts w:hint="eastAsia" w:ascii="Times New Roman" w:hAnsi="Times New Roman" w:eastAsia="仿宋_GB2312" w:cs="Times New Roman"/>
          <w:color w:val="auto"/>
          <w:kern w:val="2"/>
          <w:sz w:val="32"/>
          <w:szCs w:val="22"/>
          <w:highlight w:val="none"/>
          <w:u w:val="single"/>
          <w:lang w:val="en-US" w:eastAsia="zh-CN" w:bidi="ar-SA"/>
        </w:rPr>
        <w:t>18.31</w:t>
      </w:r>
      <w:r>
        <w:rPr>
          <w:rFonts w:hint="eastAsia" w:ascii="仿宋_GB2312" w:hAnsi="仿宋_GB2312" w:cs="仿宋_GB2312"/>
          <w:sz w:val="32"/>
          <w:szCs w:val="32"/>
        </w:rPr>
        <w:t>万元，占总支出的</w:t>
      </w:r>
      <w:r>
        <w:rPr>
          <w:rFonts w:hint="eastAsia" w:ascii="Times New Roman" w:hAnsi="Times New Roman" w:eastAsia="仿宋_GB2312" w:cs="Times New Roman"/>
          <w:color w:val="auto"/>
          <w:kern w:val="2"/>
          <w:sz w:val="32"/>
          <w:szCs w:val="22"/>
          <w:highlight w:val="none"/>
          <w:u w:val="single"/>
          <w:lang w:val="en-US" w:eastAsia="zh-CN" w:bidi="ar-SA"/>
        </w:rPr>
        <w:t>75.32%</w:t>
      </w:r>
      <w:r>
        <w:rPr>
          <w:rFonts w:hint="eastAsia" w:ascii="仿宋_GB2312" w:hAnsi="仿宋_GB2312" w:cs="仿宋_GB2312"/>
          <w:sz w:val="32"/>
          <w:szCs w:val="32"/>
          <w:lang w:eastAsia="zh-CN"/>
        </w:rPr>
        <w:t>；</w:t>
      </w:r>
      <w:r>
        <w:rPr>
          <w:rFonts w:hint="default" w:ascii="Times New Roman" w:hAnsi="Times New Roman" w:eastAsia="仿宋_GB2312"/>
          <w:color w:val="auto"/>
          <w:kern w:val="2"/>
          <w:sz w:val="32"/>
          <w:highlight w:val="none"/>
          <w:u w:val="none"/>
        </w:rPr>
        <w:t>2024年曲江区农业水价综合改革</w:t>
      </w:r>
      <w:r>
        <w:rPr>
          <w:rFonts w:hint="eastAsia"/>
          <w:color w:val="auto"/>
          <w:kern w:val="2"/>
          <w:sz w:val="32"/>
          <w:highlight w:val="none"/>
          <w:u w:val="none"/>
          <w:lang w:eastAsia="zh-CN"/>
        </w:rPr>
        <w:t>项目</w:t>
      </w:r>
      <w:r>
        <w:rPr>
          <w:rFonts w:hint="eastAsia" w:ascii="仿宋_GB2312" w:hAnsi="仿宋_GB2312" w:cs="仿宋_GB2312"/>
          <w:sz w:val="32"/>
          <w:szCs w:val="32"/>
        </w:rPr>
        <w:t>已支付</w:t>
      </w:r>
      <w:r>
        <w:rPr>
          <w:rFonts w:hint="eastAsia" w:cs="Times New Roman"/>
          <w:color w:val="auto"/>
          <w:kern w:val="2"/>
          <w:sz w:val="32"/>
          <w:szCs w:val="22"/>
          <w:highlight w:val="none"/>
          <w:u w:val="single"/>
          <w:lang w:val="en-US" w:eastAsia="zh-CN" w:bidi="ar-SA"/>
        </w:rPr>
        <w:t>2</w:t>
      </w:r>
      <w:r>
        <w:rPr>
          <w:rFonts w:hint="eastAsia" w:ascii="仿宋_GB2312" w:hAnsi="仿宋_GB2312" w:cs="仿宋_GB2312"/>
          <w:sz w:val="32"/>
          <w:szCs w:val="32"/>
        </w:rPr>
        <w:t>万元，占总支出的</w:t>
      </w:r>
      <w:r>
        <w:rPr>
          <w:rFonts w:hint="eastAsia" w:ascii="Times New Roman" w:hAnsi="Times New Roman" w:eastAsia="仿宋_GB2312" w:cs="Times New Roman"/>
          <w:color w:val="auto"/>
          <w:kern w:val="2"/>
          <w:sz w:val="32"/>
          <w:szCs w:val="22"/>
          <w:highlight w:val="none"/>
          <w:u w:val="single"/>
          <w:lang w:val="en-US" w:eastAsia="zh-CN" w:bidi="ar-SA"/>
        </w:rPr>
        <w:t>8.23%</w:t>
      </w:r>
      <w:r>
        <w:rPr>
          <w:rFonts w:hint="eastAsia" w:ascii="仿宋_GB2312" w:hAnsi="仿宋_GB2312" w:cs="仿宋_GB2312"/>
          <w:sz w:val="32"/>
          <w:szCs w:val="32"/>
        </w:rPr>
        <w:t>。中央水利发展资金支出主要用于小型水库工程设施维修养护</w:t>
      </w:r>
      <w:r>
        <w:rPr>
          <w:rFonts w:hint="eastAsia" w:ascii="仿宋_GB2312" w:hAnsi="仿宋_GB2312" w:cs="仿宋_GB2312"/>
          <w:sz w:val="32"/>
          <w:szCs w:val="32"/>
          <w:lang w:eastAsia="zh-CN"/>
        </w:rPr>
        <w:t>、白蚁防治</w:t>
      </w:r>
      <w:r>
        <w:rPr>
          <w:rFonts w:hint="eastAsia" w:ascii="仿宋_GB2312" w:hAnsi="仿宋_GB2312" w:cs="仿宋_GB2312"/>
          <w:sz w:val="32"/>
          <w:szCs w:val="32"/>
        </w:rPr>
        <w:t>与农业水价综合改革方向。在此期间，我单位严格对水利发展资金的监管，遵守财政纪律控制成本支出，严防浪费和滥用资金现象，预算执行情况良好，资金使用效率较高，较好地履行政府支出责任。</w:t>
      </w:r>
    </w:p>
    <w:p w14:paraId="2012DFB2">
      <w:pPr>
        <w:pStyle w:val="4"/>
        <w:pageBreakBefore w:val="0"/>
        <w:kinsoku/>
        <w:wordWrap/>
        <w:overflowPunct/>
        <w:topLinePunct w:val="0"/>
        <w:autoSpaceDE/>
        <w:autoSpaceDN/>
        <w:bidi w:val="0"/>
        <w:adjustRightInd/>
        <w:snapToGrid/>
        <w:spacing w:line="360" w:lineRule="auto"/>
        <w:ind w:firstLine="643"/>
        <w:textAlignment w:val="auto"/>
        <w:rPr>
          <w:rFonts w:hint="default" w:ascii="Times New Roman" w:hAnsi="Times New Roman" w:eastAsia="楷体_GB2312" w:cs="Times New Roman"/>
          <w:b/>
          <w:bCs w:val="0"/>
          <w:sz w:val="32"/>
          <w:highlight w:val="none"/>
        </w:rPr>
      </w:pPr>
      <w:r>
        <w:rPr>
          <w:rFonts w:hint="default" w:ascii="Times New Roman" w:hAnsi="Times New Roman" w:eastAsia="楷体_GB2312" w:cs="Times New Roman"/>
          <w:b/>
          <w:bCs w:val="0"/>
          <w:sz w:val="32"/>
          <w:highlight w:val="none"/>
        </w:rPr>
        <w:t>（五）多渠道筹集资金情况</w:t>
      </w:r>
    </w:p>
    <w:p w14:paraId="18A47878">
      <w:pPr>
        <w:pStyle w:val="2"/>
        <w:ind w:firstLine="31680"/>
        <w:rPr>
          <w:rFonts w:hint="default" w:ascii="Times New Roman" w:hAnsi="Times New Roman" w:cs="Times New Roman"/>
          <w:sz w:val="32"/>
          <w:highlight w:val="none"/>
          <w:u w:val="single"/>
        </w:rPr>
      </w:pPr>
      <w:r>
        <w:rPr>
          <w:rFonts w:hint="default" w:ascii="Times New Roman" w:hAnsi="Times New Roman" w:eastAsia="仿宋_GB2312"/>
          <w:color w:val="auto"/>
          <w:kern w:val="2"/>
          <w:sz w:val="32"/>
          <w:highlight w:val="none"/>
          <w:u w:val="none"/>
        </w:rPr>
        <w:t>2024年曲江区小型水库工程设施维修养护</w:t>
      </w:r>
      <w:r>
        <w:rPr>
          <w:rFonts w:hint="eastAsia" w:ascii="仿宋_GB2312" w:hAnsi="仿宋_GB2312" w:cs="仿宋_GB2312"/>
          <w:sz w:val="32"/>
          <w:szCs w:val="32"/>
        </w:rPr>
        <w:t>项目</w:t>
      </w:r>
      <w:r>
        <w:rPr>
          <w:rFonts w:hint="eastAsia" w:ascii="仿宋_GB2312" w:hAnsi="仿宋_GB2312" w:cs="仿宋_GB2312"/>
          <w:sz w:val="32"/>
          <w:szCs w:val="32"/>
          <w:lang w:eastAsia="zh-CN"/>
        </w:rPr>
        <w:t>、</w:t>
      </w:r>
      <w:r>
        <w:rPr>
          <w:rFonts w:hint="default" w:ascii="Times New Roman" w:hAnsi="Times New Roman" w:eastAsia="仿宋_GB2312"/>
          <w:color w:val="auto"/>
          <w:kern w:val="2"/>
          <w:sz w:val="32"/>
          <w:highlight w:val="none"/>
          <w:u w:val="none"/>
        </w:rPr>
        <w:t>2024年曲江区白蚁等害堤动物防治</w:t>
      </w:r>
      <w:r>
        <w:rPr>
          <w:rFonts w:hint="eastAsia"/>
          <w:color w:val="auto"/>
          <w:kern w:val="2"/>
          <w:sz w:val="32"/>
          <w:highlight w:val="none"/>
          <w:u w:val="none"/>
          <w:lang w:eastAsia="zh-CN"/>
        </w:rPr>
        <w:t>项目</w:t>
      </w:r>
      <w:r>
        <w:rPr>
          <w:rFonts w:hint="eastAsia" w:ascii="仿宋_GB2312" w:hAnsi="仿宋_GB2312" w:cs="仿宋_GB2312"/>
          <w:sz w:val="32"/>
          <w:szCs w:val="32"/>
        </w:rPr>
        <w:t>和</w:t>
      </w:r>
      <w:r>
        <w:rPr>
          <w:rFonts w:hint="default" w:ascii="Times New Roman" w:hAnsi="Times New Roman" w:eastAsia="仿宋_GB2312"/>
          <w:color w:val="auto"/>
          <w:kern w:val="2"/>
          <w:sz w:val="32"/>
          <w:highlight w:val="none"/>
          <w:u w:val="none"/>
        </w:rPr>
        <w:t>2024年曲江区农业水价综合改革</w:t>
      </w:r>
      <w:r>
        <w:rPr>
          <w:rFonts w:hint="eastAsia"/>
          <w:color w:val="auto"/>
          <w:kern w:val="2"/>
          <w:sz w:val="32"/>
          <w:highlight w:val="none"/>
          <w:u w:val="none"/>
          <w:lang w:eastAsia="zh-CN"/>
        </w:rPr>
        <w:t>项目</w:t>
      </w:r>
      <w:r>
        <w:rPr>
          <w:rFonts w:hint="eastAsia" w:ascii="仿宋_GB2312" w:hAnsi="仿宋_GB2312" w:cs="仿宋_GB2312"/>
          <w:sz w:val="32"/>
          <w:szCs w:val="32"/>
        </w:rPr>
        <w:t>总共筹集资金</w:t>
      </w:r>
      <w:r>
        <w:rPr>
          <w:rFonts w:hint="eastAsia" w:ascii="仿宋_GB2312" w:hAnsi="仿宋_GB2312" w:cs="仿宋_GB2312"/>
          <w:sz w:val="32"/>
          <w:szCs w:val="32"/>
          <w:lang w:val="en-US" w:eastAsia="zh-CN"/>
        </w:rPr>
        <w:t>95</w:t>
      </w:r>
      <w:r>
        <w:rPr>
          <w:rFonts w:hint="eastAsia" w:ascii="仿宋_GB2312" w:hAnsi="仿宋_GB2312" w:cs="仿宋_GB2312"/>
          <w:sz w:val="32"/>
          <w:szCs w:val="32"/>
        </w:rPr>
        <w:t>万元，资金来源均为上级政府资金财政拨款，均为</w:t>
      </w:r>
      <w:r>
        <w:rPr>
          <w:rFonts w:ascii="仿宋_GB2312" w:hAnsi="仿宋_GB2312" w:cs="仿宋_GB2312"/>
          <w:sz w:val="32"/>
          <w:szCs w:val="32"/>
        </w:rPr>
        <w:t>202</w:t>
      </w:r>
      <w:r>
        <w:rPr>
          <w:rFonts w:hint="eastAsia" w:ascii="仿宋_GB2312" w:hAnsi="仿宋_GB2312" w:cs="仿宋_GB2312"/>
          <w:sz w:val="32"/>
          <w:szCs w:val="32"/>
          <w:lang w:val="en-US" w:eastAsia="zh-CN"/>
        </w:rPr>
        <w:t>4</w:t>
      </w:r>
      <w:r>
        <w:rPr>
          <w:rFonts w:hint="eastAsia" w:ascii="仿宋_GB2312" w:hAnsi="仿宋_GB2312" w:cs="仿宋_GB2312"/>
          <w:sz w:val="32"/>
          <w:szCs w:val="32"/>
        </w:rPr>
        <w:t>年中央水利发展资金。筹集的资金在小型水库工程设施维修养护</w:t>
      </w:r>
      <w:r>
        <w:rPr>
          <w:rFonts w:hint="eastAsia" w:ascii="仿宋_GB2312" w:hAnsi="仿宋_GB2312" w:cs="仿宋_GB2312"/>
          <w:sz w:val="32"/>
          <w:szCs w:val="32"/>
          <w:lang w:eastAsia="zh-CN"/>
        </w:rPr>
        <w:t>、白蚁防治</w:t>
      </w:r>
      <w:r>
        <w:rPr>
          <w:rFonts w:hint="eastAsia" w:ascii="仿宋_GB2312" w:hAnsi="仿宋_GB2312" w:cs="仿宋_GB2312"/>
          <w:sz w:val="32"/>
          <w:szCs w:val="32"/>
        </w:rPr>
        <w:t>与农业水价综合改革方向发挥积极作用，使用效果良好。</w:t>
      </w:r>
    </w:p>
    <w:p w14:paraId="43FA7426">
      <w:pPr>
        <w:pStyle w:val="3"/>
        <w:pageBreakBefore w:val="0"/>
        <w:kinsoku/>
        <w:wordWrap/>
        <w:overflowPunct/>
        <w:topLinePunct w:val="0"/>
        <w:autoSpaceDE/>
        <w:autoSpaceDN/>
        <w:bidi w:val="0"/>
        <w:adjustRightInd/>
        <w:snapToGrid/>
        <w:spacing w:line="360" w:lineRule="auto"/>
        <w:ind w:firstLine="640"/>
        <w:textAlignment w:val="auto"/>
        <w:rPr>
          <w:rFonts w:hint="default" w:ascii="Times New Roman" w:hAnsi="Times New Roman" w:eastAsia="黑体" w:cs="Times New Roman"/>
          <w:b w:val="0"/>
          <w:bCs w:val="0"/>
          <w:sz w:val="32"/>
          <w:highlight w:val="none"/>
        </w:rPr>
      </w:pPr>
      <w:r>
        <w:rPr>
          <w:rFonts w:hint="default" w:ascii="Times New Roman" w:hAnsi="Times New Roman" w:eastAsia="黑体" w:cs="Times New Roman"/>
          <w:b w:val="0"/>
          <w:bCs w:val="0"/>
          <w:sz w:val="32"/>
          <w:highlight w:val="none"/>
        </w:rPr>
        <w:t>二、绩效自评工作开展情况</w:t>
      </w:r>
    </w:p>
    <w:p w14:paraId="0F3E0042">
      <w:pPr>
        <w:pStyle w:val="4"/>
        <w:pageBreakBefore w:val="0"/>
        <w:kinsoku/>
        <w:wordWrap/>
        <w:overflowPunct/>
        <w:topLinePunct w:val="0"/>
        <w:autoSpaceDE/>
        <w:autoSpaceDN/>
        <w:bidi w:val="0"/>
        <w:adjustRightInd/>
        <w:snapToGrid/>
        <w:spacing w:line="360" w:lineRule="auto"/>
        <w:ind w:firstLine="643"/>
        <w:textAlignment w:val="auto"/>
        <w:rPr>
          <w:rFonts w:hint="default" w:ascii="Times New Roman" w:hAnsi="Times New Roman" w:eastAsia="楷体_GB2312" w:cs="Times New Roman"/>
          <w:b/>
          <w:bCs w:val="0"/>
          <w:sz w:val="32"/>
          <w:highlight w:val="none"/>
        </w:rPr>
      </w:pPr>
      <w:r>
        <w:rPr>
          <w:rFonts w:hint="default" w:ascii="Times New Roman" w:hAnsi="Times New Roman" w:eastAsia="楷体_GB2312" w:cs="Times New Roman"/>
          <w:b/>
          <w:bCs w:val="0"/>
          <w:sz w:val="32"/>
          <w:highlight w:val="none"/>
        </w:rPr>
        <w:t>（一）自评依据</w:t>
      </w:r>
    </w:p>
    <w:p w14:paraId="04614CD9">
      <w:pPr>
        <w:pageBreakBefore w:val="0"/>
        <w:kinsoku/>
        <w:wordWrap/>
        <w:overflowPunct/>
        <w:topLinePunct w:val="0"/>
        <w:bidi w:val="0"/>
        <w:snapToGrid/>
        <w:spacing w:line="360" w:lineRule="auto"/>
        <w:ind w:firstLine="640"/>
        <w:textAlignment w:val="auto"/>
        <w:rPr>
          <w:rFonts w:ascii="Times New Roman" w:hAnsi="Times New Roman"/>
          <w:sz w:val="32"/>
          <w:highlight w:val="none"/>
        </w:rPr>
      </w:pPr>
      <w:r>
        <w:rPr>
          <w:rFonts w:hint="eastAsia" w:ascii="仿宋_GB2312" w:hAnsi="仿宋_GB2312" w:cs="Times New Roman"/>
          <w:sz w:val="32"/>
          <w:highlight w:val="none"/>
        </w:rPr>
        <w:t>本次绩效评价按照</w:t>
      </w:r>
      <w:r>
        <w:rPr>
          <w:rFonts w:hint="eastAsia" w:ascii="Times New Roman" w:hAnsi="Times New Roman"/>
          <w:sz w:val="32"/>
          <w:szCs w:val="32"/>
          <w:highlight w:val="none"/>
        </w:rPr>
        <w:t>《财政部</w:t>
      </w:r>
      <w:r>
        <w:rPr>
          <w:rFonts w:ascii="Times New Roman" w:hAnsi="Times New Roman"/>
          <w:sz w:val="32"/>
          <w:szCs w:val="32"/>
          <w:highlight w:val="none"/>
        </w:rPr>
        <w:t xml:space="preserve"> </w:t>
      </w:r>
      <w:r>
        <w:rPr>
          <w:rFonts w:hint="eastAsia" w:ascii="Times New Roman" w:hAnsi="Times New Roman"/>
          <w:sz w:val="32"/>
          <w:szCs w:val="32"/>
          <w:highlight w:val="none"/>
        </w:rPr>
        <w:t>水利部关于印发</w:t>
      </w:r>
      <w:r>
        <w:rPr>
          <w:rFonts w:hint="eastAsia" w:ascii="汉仪平安行粗简" w:hAnsi="汉仪平安行粗简" w:eastAsia="汉仪平安行粗简" w:cs="汉仪平安行粗简"/>
          <w:sz w:val="32"/>
          <w:szCs w:val="32"/>
          <w:highlight w:val="none"/>
          <w:lang w:val="en-US" w:eastAsia="zh-CN"/>
        </w:rPr>
        <w:t>&lt;</w:t>
      </w:r>
      <w:r>
        <w:rPr>
          <w:rFonts w:hint="eastAsia" w:ascii="Times New Roman" w:hAnsi="Times New Roman"/>
          <w:sz w:val="32"/>
          <w:szCs w:val="32"/>
          <w:highlight w:val="none"/>
        </w:rPr>
        <w:t>水利发展资金管理办法</w:t>
      </w:r>
      <w:r>
        <w:rPr>
          <w:rFonts w:hint="eastAsia" w:ascii="汉仪平安行粗简" w:hAnsi="汉仪平安行粗简" w:eastAsia="汉仪平安行粗简" w:cs="汉仪平安行粗简"/>
          <w:sz w:val="32"/>
          <w:szCs w:val="32"/>
          <w:highlight w:val="none"/>
          <w:lang w:val="en-US" w:eastAsia="zh-CN"/>
        </w:rPr>
        <w:t>&gt;</w:t>
      </w:r>
      <w:r>
        <w:rPr>
          <w:rFonts w:hint="eastAsia" w:ascii="Times New Roman" w:hAnsi="Times New Roman"/>
          <w:sz w:val="32"/>
          <w:szCs w:val="32"/>
          <w:highlight w:val="none"/>
        </w:rPr>
        <w:t>的通知》（财农〔</w:t>
      </w:r>
      <w:r>
        <w:rPr>
          <w:rFonts w:ascii="Times New Roman" w:hAnsi="Times New Roman"/>
          <w:sz w:val="32"/>
          <w:szCs w:val="32"/>
          <w:highlight w:val="none"/>
        </w:rPr>
        <w:t>2022</w:t>
      </w:r>
      <w:r>
        <w:rPr>
          <w:rFonts w:hint="eastAsia" w:ascii="Times New Roman" w:hAnsi="Times New Roman"/>
          <w:sz w:val="32"/>
          <w:szCs w:val="32"/>
          <w:highlight w:val="none"/>
        </w:rPr>
        <w:t>〕</w:t>
      </w:r>
      <w:r>
        <w:rPr>
          <w:rFonts w:ascii="Times New Roman" w:hAnsi="Times New Roman"/>
          <w:sz w:val="32"/>
          <w:szCs w:val="32"/>
          <w:highlight w:val="none"/>
        </w:rPr>
        <w:t>81</w:t>
      </w:r>
      <w:r>
        <w:rPr>
          <w:rFonts w:hint="eastAsia" w:ascii="Times New Roman" w:hAnsi="Times New Roman"/>
          <w:sz w:val="32"/>
          <w:szCs w:val="32"/>
          <w:highlight w:val="none"/>
        </w:rPr>
        <w:t>号）</w:t>
      </w:r>
      <w:r>
        <w:rPr>
          <w:rFonts w:ascii="仿宋_GB2312" w:hAnsi="仿宋_GB2312" w:cs="Times New Roman"/>
          <w:sz w:val="32"/>
          <w:highlight w:val="none"/>
        </w:rPr>
        <w:t>、</w:t>
      </w:r>
      <w:r>
        <w:rPr>
          <w:rFonts w:hint="eastAsia" w:ascii="Times New Roman" w:hAnsi="Times New Roman"/>
          <w:sz w:val="32"/>
          <w:szCs w:val="32"/>
          <w:highlight w:val="none"/>
        </w:rPr>
        <w:t>《广东省财政厅</w:t>
      </w:r>
      <w:r>
        <w:rPr>
          <w:rFonts w:ascii="Times New Roman" w:hAnsi="Times New Roman"/>
          <w:sz w:val="32"/>
          <w:szCs w:val="32"/>
          <w:highlight w:val="none"/>
        </w:rPr>
        <w:t xml:space="preserve"> </w:t>
      </w:r>
      <w:r>
        <w:rPr>
          <w:rFonts w:hint="eastAsia" w:ascii="Times New Roman" w:hAnsi="Times New Roman"/>
          <w:sz w:val="32"/>
          <w:szCs w:val="32"/>
          <w:highlight w:val="none"/>
        </w:rPr>
        <w:t>广东省水利厅关于印发广东省中央财政水利发展资金使用管理实施细则的通知》（粤财农〔</w:t>
      </w:r>
      <w:r>
        <w:rPr>
          <w:rFonts w:ascii="Times New Roman" w:hAnsi="Times New Roman"/>
          <w:sz w:val="32"/>
          <w:szCs w:val="32"/>
          <w:highlight w:val="none"/>
        </w:rPr>
        <w:t>2023</w:t>
      </w:r>
      <w:r>
        <w:rPr>
          <w:rFonts w:hint="eastAsia" w:ascii="Times New Roman" w:hAnsi="Times New Roman"/>
          <w:sz w:val="32"/>
          <w:szCs w:val="32"/>
          <w:highlight w:val="none"/>
        </w:rPr>
        <w:t>〕</w:t>
      </w:r>
      <w:r>
        <w:rPr>
          <w:rFonts w:ascii="Times New Roman" w:hAnsi="Times New Roman"/>
          <w:sz w:val="32"/>
          <w:szCs w:val="32"/>
          <w:highlight w:val="none"/>
        </w:rPr>
        <w:t>1</w:t>
      </w:r>
      <w:r>
        <w:rPr>
          <w:rFonts w:hint="eastAsia" w:ascii="Times New Roman" w:hAnsi="Times New Roman"/>
          <w:sz w:val="32"/>
          <w:szCs w:val="32"/>
          <w:highlight w:val="none"/>
        </w:rPr>
        <w:t>号）、《广东省中央财政水利发展资金绩效管理实施细则》（粤财农〔</w:t>
      </w:r>
      <w:r>
        <w:rPr>
          <w:rFonts w:ascii="Times New Roman" w:hAnsi="Times New Roman"/>
          <w:sz w:val="32"/>
          <w:szCs w:val="32"/>
          <w:highlight w:val="none"/>
        </w:rPr>
        <w:t>2018</w:t>
      </w:r>
      <w:r>
        <w:rPr>
          <w:rFonts w:hint="eastAsia" w:ascii="Times New Roman" w:hAnsi="Times New Roman"/>
          <w:sz w:val="32"/>
          <w:szCs w:val="32"/>
          <w:highlight w:val="none"/>
        </w:rPr>
        <w:t>〕</w:t>
      </w:r>
      <w:r>
        <w:rPr>
          <w:rFonts w:ascii="Times New Roman" w:hAnsi="Times New Roman"/>
          <w:sz w:val="32"/>
          <w:szCs w:val="32"/>
          <w:highlight w:val="none"/>
        </w:rPr>
        <w:t>312</w:t>
      </w:r>
      <w:r>
        <w:rPr>
          <w:rFonts w:hint="eastAsia" w:ascii="Times New Roman" w:hAnsi="Times New Roman"/>
          <w:sz w:val="32"/>
          <w:szCs w:val="32"/>
          <w:highlight w:val="none"/>
        </w:rPr>
        <w:t>号）</w:t>
      </w:r>
      <w:r>
        <w:rPr>
          <w:rFonts w:ascii="仿宋_GB2312" w:hAnsi="仿宋_GB2312" w:cs="Times New Roman"/>
          <w:sz w:val="32"/>
          <w:highlight w:val="none"/>
        </w:rPr>
        <w:t>、</w:t>
      </w:r>
      <w:r>
        <w:rPr>
          <w:rFonts w:hint="eastAsia" w:ascii="Times New Roman" w:hAnsi="Times New Roman" w:cs="Times New Roman"/>
          <w:sz w:val="32"/>
          <w:highlight w:val="none"/>
        </w:rPr>
        <w:t>《广东省水利厅</w:t>
      </w:r>
      <w:r>
        <w:rPr>
          <w:rFonts w:hint="eastAsia" w:ascii="Times New Roman" w:hAnsi="Times New Roman" w:cs="Times New Roman"/>
          <w:sz w:val="32"/>
          <w:highlight w:val="none"/>
          <w:lang w:val="en-US" w:eastAsia="zh-CN"/>
        </w:rPr>
        <w:t xml:space="preserve"> </w:t>
      </w:r>
      <w:r>
        <w:rPr>
          <w:rFonts w:hint="eastAsia" w:ascii="Times New Roman" w:hAnsi="Times New Roman" w:cs="Times New Roman"/>
          <w:sz w:val="32"/>
          <w:highlight w:val="none"/>
        </w:rPr>
        <w:t>广东省财政厅关于开展202</w:t>
      </w:r>
      <w:r>
        <w:rPr>
          <w:rFonts w:hint="eastAsia" w:cs="Times New Roman"/>
          <w:sz w:val="32"/>
          <w:highlight w:val="none"/>
          <w:lang w:val="en-US" w:eastAsia="zh-CN"/>
        </w:rPr>
        <w:t>4</w:t>
      </w:r>
      <w:r>
        <w:rPr>
          <w:rFonts w:hint="eastAsia" w:ascii="Times New Roman" w:hAnsi="Times New Roman" w:cs="Times New Roman"/>
          <w:sz w:val="32"/>
          <w:highlight w:val="none"/>
        </w:rPr>
        <w:t>年度水利发展资金绩效评价工作的通知》（粤水财务函〔2024〕841号）</w:t>
      </w:r>
      <w:r>
        <w:rPr>
          <w:rFonts w:hint="eastAsia" w:ascii="仿宋_GB2312" w:hAnsi="仿宋_GB2312" w:cs="Times New Roman"/>
          <w:sz w:val="32"/>
          <w:highlight w:val="none"/>
        </w:rPr>
        <w:t>等文件要求开展</w:t>
      </w:r>
      <w:r>
        <w:rPr>
          <w:rFonts w:hint="eastAsia" w:ascii="Times New Roman" w:hAnsi="Times New Roman" w:cs="Times New Roman"/>
          <w:sz w:val="32"/>
          <w:highlight w:val="none"/>
        </w:rPr>
        <w:t>，</w:t>
      </w:r>
      <w:r>
        <w:rPr>
          <w:rFonts w:hint="eastAsia" w:ascii="Times New Roman" w:hAnsi="Times New Roman" w:cs="Times New Roman"/>
          <w:sz w:val="32"/>
          <w:highlight w:val="none"/>
          <w:u w:val="single"/>
        </w:rPr>
        <w:t>韶关市曲江区</w:t>
      </w:r>
      <w:r>
        <w:rPr>
          <w:rFonts w:hint="eastAsia" w:ascii="Times New Roman" w:hAnsi="Times New Roman" w:cs="Times New Roman"/>
          <w:sz w:val="32"/>
          <w:highlight w:val="none"/>
        </w:rPr>
        <w:t>对202</w:t>
      </w:r>
      <w:r>
        <w:rPr>
          <w:rFonts w:hint="eastAsia" w:cs="Times New Roman"/>
          <w:sz w:val="32"/>
          <w:highlight w:val="none"/>
          <w:lang w:val="en-US" w:eastAsia="zh-CN"/>
        </w:rPr>
        <w:t>4</w:t>
      </w:r>
      <w:r>
        <w:rPr>
          <w:rFonts w:hint="eastAsia" w:ascii="Times New Roman" w:hAnsi="Times New Roman" w:cs="Times New Roman"/>
          <w:sz w:val="32"/>
          <w:highlight w:val="none"/>
        </w:rPr>
        <w:t>年中央水利发展资金安排的95万元开展了资金使用绩效自评，并形成自评报告。</w:t>
      </w:r>
    </w:p>
    <w:p w14:paraId="2C4FB19E">
      <w:pPr>
        <w:pStyle w:val="4"/>
        <w:pageBreakBefore w:val="0"/>
        <w:kinsoku/>
        <w:wordWrap/>
        <w:overflowPunct/>
        <w:topLinePunct w:val="0"/>
        <w:autoSpaceDE/>
        <w:autoSpaceDN/>
        <w:bidi w:val="0"/>
        <w:adjustRightInd/>
        <w:snapToGrid/>
        <w:spacing w:line="360" w:lineRule="auto"/>
        <w:ind w:firstLine="643"/>
        <w:textAlignment w:val="auto"/>
        <w:rPr>
          <w:rFonts w:hint="default" w:ascii="Times New Roman" w:hAnsi="Times New Roman" w:eastAsia="楷体_GB2312" w:cs="Times New Roman"/>
          <w:b/>
          <w:bCs w:val="0"/>
          <w:sz w:val="32"/>
          <w:highlight w:val="none"/>
        </w:rPr>
      </w:pPr>
      <w:r>
        <w:rPr>
          <w:rFonts w:hint="default" w:ascii="Times New Roman" w:hAnsi="Times New Roman" w:eastAsia="楷体_GB2312" w:cs="Times New Roman"/>
          <w:b/>
          <w:bCs w:val="0"/>
          <w:sz w:val="32"/>
          <w:highlight w:val="none"/>
        </w:rPr>
        <w:t>（二）自评方式</w:t>
      </w:r>
    </w:p>
    <w:p w14:paraId="3F072EF8">
      <w:pPr>
        <w:pageBreakBefore w:val="0"/>
        <w:kinsoku/>
        <w:wordWrap/>
        <w:overflowPunct/>
        <w:topLinePunct w:val="0"/>
        <w:bidi w:val="0"/>
        <w:snapToGrid/>
        <w:spacing w:line="360" w:lineRule="auto"/>
        <w:ind w:firstLine="640"/>
        <w:textAlignment w:val="auto"/>
        <w:rPr>
          <w:rFonts w:hint="default" w:ascii="Times New Roman" w:hAnsi="Times New Roman" w:cs="Times New Roman"/>
          <w:sz w:val="32"/>
          <w:highlight w:val="none"/>
          <w:u w:val="single"/>
        </w:rPr>
      </w:pPr>
      <w:r>
        <w:rPr>
          <w:rFonts w:hint="default" w:ascii="Times New Roman" w:hAnsi="Times New Roman" w:cs="Times New Roman"/>
          <w:sz w:val="32"/>
          <w:highlight w:val="none"/>
          <w:u w:val="single"/>
        </w:rPr>
        <w:t>我区高度重视中央财政水利发展资金绩效评价工作，对202</w:t>
      </w:r>
      <w:r>
        <w:rPr>
          <w:rFonts w:hint="eastAsia" w:cs="Times New Roman"/>
          <w:sz w:val="32"/>
          <w:highlight w:val="none"/>
          <w:u w:val="single"/>
          <w:lang w:val="en-US" w:eastAsia="zh-CN"/>
        </w:rPr>
        <w:t>4</w:t>
      </w:r>
      <w:r>
        <w:rPr>
          <w:rFonts w:hint="default" w:ascii="Times New Roman" w:hAnsi="Times New Roman" w:cs="Times New Roman"/>
          <w:sz w:val="32"/>
          <w:highlight w:val="none"/>
          <w:u w:val="single"/>
        </w:rPr>
        <w:t>年中央水利发展资金绩效评价工作进行了责任分解，召开2024年度水利发展资金绩效评价工作培训会议，并就项目自评报告编报、完成时限、报表填报等工作提出了具体要求，通过查看资料、实地走访</w:t>
      </w:r>
      <w:r>
        <w:rPr>
          <w:rFonts w:hint="eastAsia" w:cs="Times New Roman"/>
          <w:sz w:val="32"/>
          <w:highlight w:val="none"/>
          <w:u w:val="single"/>
          <w:lang w:eastAsia="zh-CN"/>
        </w:rPr>
        <w:t>、问卷调查</w:t>
      </w:r>
      <w:r>
        <w:rPr>
          <w:rFonts w:hint="default" w:ascii="Times New Roman" w:hAnsi="Times New Roman" w:cs="Times New Roman"/>
          <w:sz w:val="32"/>
          <w:highlight w:val="none"/>
          <w:u w:val="single"/>
        </w:rPr>
        <w:t>等形式进行分析评价，以确保绩效自评结果真实、准确、客观。</w:t>
      </w:r>
    </w:p>
    <w:p w14:paraId="308B4732">
      <w:pPr>
        <w:pStyle w:val="4"/>
        <w:keepNext/>
        <w:keepLines/>
        <w:pageBreakBefore w:val="0"/>
        <w:widowControl/>
        <w:kinsoku/>
        <w:wordWrap/>
        <w:overflowPunct/>
        <w:topLinePunct w:val="0"/>
        <w:autoSpaceDE/>
        <w:autoSpaceDN/>
        <w:bidi w:val="0"/>
        <w:adjustRightInd/>
        <w:snapToGrid/>
        <w:spacing w:line="360" w:lineRule="auto"/>
        <w:ind w:firstLine="643"/>
        <w:textAlignment w:val="auto"/>
        <w:rPr>
          <w:rFonts w:hint="default" w:ascii="Times New Roman" w:hAnsi="Times New Roman" w:eastAsia="楷体_GB2312" w:cs="Times New Roman"/>
          <w:b/>
          <w:bCs w:val="0"/>
          <w:sz w:val="32"/>
          <w:highlight w:val="none"/>
        </w:rPr>
      </w:pPr>
      <w:r>
        <w:rPr>
          <w:rFonts w:hint="default" w:ascii="Times New Roman" w:hAnsi="Times New Roman" w:eastAsia="楷体_GB2312" w:cs="Times New Roman"/>
          <w:b/>
          <w:bCs w:val="0"/>
          <w:sz w:val="32"/>
          <w:highlight w:val="none"/>
        </w:rPr>
        <w:t>（三）经验做法</w:t>
      </w:r>
    </w:p>
    <w:p w14:paraId="75452D34">
      <w:pPr>
        <w:pageBreakBefore w:val="0"/>
        <w:kinsoku/>
        <w:wordWrap/>
        <w:overflowPunct/>
        <w:topLinePunct w:val="0"/>
        <w:bidi w:val="0"/>
        <w:snapToGrid/>
        <w:spacing w:line="360" w:lineRule="auto"/>
        <w:ind w:firstLine="640"/>
        <w:textAlignment w:val="auto"/>
        <w:rPr>
          <w:rFonts w:hint="default" w:ascii="Times New Roman" w:hAnsi="Times New Roman" w:cs="Times New Roman"/>
          <w:sz w:val="32"/>
          <w:highlight w:val="none"/>
          <w:u w:val="single"/>
        </w:rPr>
      </w:pPr>
      <w:r>
        <w:rPr>
          <w:rFonts w:hint="default" w:ascii="Times New Roman" w:hAnsi="Times New Roman" w:cs="Times New Roman"/>
          <w:sz w:val="32"/>
          <w:highlight w:val="none"/>
          <w:u w:val="single"/>
        </w:rPr>
        <w:t>在项目开展前期，成立绩效评价工作小组，根据项目计划实施内容合理制定绩效评价工作方案，设定绩效目标和绩效指标，有效保障项目逐步开展。</w:t>
      </w:r>
    </w:p>
    <w:p w14:paraId="6C07495E">
      <w:pPr>
        <w:pageBreakBefore w:val="0"/>
        <w:kinsoku/>
        <w:wordWrap/>
        <w:overflowPunct/>
        <w:topLinePunct w:val="0"/>
        <w:bidi w:val="0"/>
        <w:snapToGrid/>
        <w:spacing w:line="360" w:lineRule="auto"/>
        <w:ind w:firstLine="640"/>
        <w:textAlignment w:val="auto"/>
        <w:rPr>
          <w:rFonts w:hint="default" w:ascii="Times New Roman" w:hAnsi="Times New Roman" w:cs="Times New Roman"/>
          <w:sz w:val="32"/>
          <w:highlight w:val="none"/>
          <w:u w:val="single"/>
        </w:rPr>
      </w:pPr>
      <w:r>
        <w:rPr>
          <w:rFonts w:hint="default" w:ascii="Times New Roman" w:hAnsi="Times New Roman" w:cs="Times New Roman"/>
          <w:sz w:val="32"/>
          <w:highlight w:val="none"/>
          <w:u w:val="single"/>
        </w:rPr>
        <w:t>在项目开展中期，对资金管理使用与项目实施双管齐下、严格把控：我单位对项目资金进行专款管理，做到专款专用，确保协调好项目的用款计划、用款进度、用款额度等，使项目的正常运作展开。项目实施过程中，遵循先考察、调研，再根据我单位工作实际情况制定相应的措施。实现了项目管理与过程管理的有机结合。同时由主管局为监管部门，不定期对项目执行单位进度情况进行督导检查，对检查过程中发现的问题及时督促整改，确保项目按时保质完成。</w:t>
      </w:r>
    </w:p>
    <w:p w14:paraId="1BCAC1B1">
      <w:pPr>
        <w:pageBreakBefore w:val="0"/>
        <w:kinsoku/>
        <w:wordWrap/>
        <w:overflowPunct/>
        <w:topLinePunct w:val="0"/>
        <w:bidi w:val="0"/>
        <w:snapToGrid/>
        <w:spacing w:line="360" w:lineRule="auto"/>
        <w:ind w:firstLine="640"/>
        <w:textAlignment w:val="auto"/>
        <w:rPr>
          <w:rFonts w:hint="default" w:ascii="Times New Roman" w:hAnsi="Times New Roman" w:cs="Times New Roman"/>
          <w:sz w:val="32"/>
          <w:highlight w:val="none"/>
          <w:u w:val="single"/>
        </w:rPr>
      </w:pPr>
      <w:r>
        <w:rPr>
          <w:rFonts w:hint="default" w:ascii="Times New Roman" w:hAnsi="Times New Roman" w:cs="Times New Roman"/>
          <w:sz w:val="32"/>
          <w:highlight w:val="none"/>
          <w:u w:val="single"/>
        </w:rPr>
        <w:t>在项目开展后期，对项目进行绩效评价工作，深入分析资金使用情况，评估资金使用效益、项目投入进度等，确保资金被用于实现计划目标与产出。根据绩效评价的结果，对工作流程、管理办法等持续改进调整，提高工作效率和质量。</w:t>
      </w:r>
    </w:p>
    <w:p w14:paraId="6B02DF4E">
      <w:pPr>
        <w:pStyle w:val="4"/>
        <w:keepNext/>
        <w:keepLines/>
        <w:pageBreakBefore w:val="0"/>
        <w:widowControl/>
        <w:kinsoku/>
        <w:wordWrap/>
        <w:overflowPunct/>
        <w:topLinePunct w:val="0"/>
        <w:autoSpaceDE/>
        <w:autoSpaceDN/>
        <w:bidi w:val="0"/>
        <w:adjustRightInd/>
        <w:snapToGrid/>
        <w:spacing w:line="360" w:lineRule="auto"/>
        <w:ind w:firstLine="643"/>
        <w:textAlignment w:val="auto"/>
        <w:rPr>
          <w:rFonts w:hint="default" w:ascii="Times New Roman" w:hAnsi="Times New Roman" w:eastAsia="楷体_GB2312" w:cs="Times New Roman"/>
          <w:b/>
          <w:bCs w:val="0"/>
          <w:sz w:val="32"/>
          <w:highlight w:val="none"/>
        </w:rPr>
      </w:pPr>
      <w:r>
        <w:rPr>
          <w:rFonts w:hint="default" w:ascii="Times New Roman" w:hAnsi="Times New Roman" w:eastAsia="楷体_GB2312" w:cs="Times New Roman"/>
          <w:b/>
          <w:bCs w:val="0"/>
          <w:sz w:val="32"/>
          <w:highlight w:val="none"/>
        </w:rPr>
        <w:t>（四）问题和建议</w:t>
      </w:r>
    </w:p>
    <w:p w14:paraId="3A413AE4">
      <w:pPr>
        <w:pageBreakBefore w:val="0"/>
        <w:kinsoku/>
        <w:wordWrap/>
        <w:overflowPunct/>
        <w:topLinePunct w:val="0"/>
        <w:bidi w:val="0"/>
        <w:snapToGrid/>
        <w:spacing w:line="360" w:lineRule="auto"/>
        <w:ind w:firstLine="640"/>
        <w:textAlignment w:val="auto"/>
        <w:rPr>
          <w:rFonts w:hint="default" w:ascii="Times New Roman" w:hAnsi="Times New Roman" w:cs="Times New Roman"/>
          <w:sz w:val="32"/>
          <w:highlight w:val="none"/>
          <w:u w:val="single"/>
        </w:rPr>
      </w:pPr>
      <w:r>
        <w:rPr>
          <w:rFonts w:hint="eastAsia" w:cs="Times New Roman"/>
          <w:sz w:val="32"/>
          <w:highlight w:val="none"/>
          <w:u w:val="single"/>
          <w:lang w:eastAsia="zh-CN"/>
        </w:rPr>
        <w:t>无</w:t>
      </w:r>
      <w:r>
        <w:rPr>
          <w:rFonts w:hint="default" w:ascii="Times New Roman" w:hAnsi="Times New Roman" w:cs="Times New Roman"/>
          <w:sz w:val="32"/>
          <w:highlight w:val="none"/>
          <w:u w:val="single"/>
        </w:rPr>
        <w:t>。</w:t>
      </w:r>
    </w:p>
    <w:p w14:paraId="007AC657">
      <w:pPr>
        <w:pStyle w:val="3"/>
        <w:pageBreakBefore w:val="0"/>
        <w:kinsoku/>
        <w:wordWrap/>
        <w:overflowPunct/>
        <w:topLinePunct w:val="0"/>
        <w:autoSpaceDE/>
        <w:autoSpaceDN/>
        <w:bidi w:val="0"/>
        <w:adjustRightInd/>
        <w:snapToGrid/>
        <w:spacing w:line="360" w:lineRule="auto"/>
        <w:ind w:firstLine="640"/>
        <w:textAlignment w:val="auto"/>
        <w:rPr>
          <w:rFonts w:hint="default" w:ascii="Times New Roman" w:hAnsi="Times New Roman" w:eastAsia="黑体" w:cs="Times New Roman"/>
          <w:b w:val="0"/>
          <w:bCs w:val="0"/>
          <w:sz w:val="32"/>
          <w:highlight w:val="none"/>
        </w:rPr>
      </w:pPr>
      <w:r>
        <w:rPr>
          <w:rFonts w:hint="default" w:ascii="Times New Roman" w:hAnsi="Times New Roman" w:eastAsia="黑体" w:cs="Times New Roman"/>
          <w:b w:val="0"/>
          <w:bCs w:val="0"/>
          <w:sz w:val="32"/>
          <w:highlight w:val="none"/>
        </w:rPr>
        <w:t>三、绩效自评分析</w:t>
      </w:r>
    </w:p>
    <w:p w14:paraId="72413DC5">
      <w:pPr>
        <w:pStyle w:val="4"/>
        <w:pageBreakBefore w:val="0"/>
        <w:kinsoku/>
        <w:wordWrap/>
        <w:overflowPunct/>
        <w:topLinePunct w:val="0"/>
        <w:autoSpaceDE/>
        <w:autoSpaceDN/>
        <w:bidi w:val="0"/>
        <w:adjustRightInd/>
        <w:snapToGrid/>
        <w:spacing w:line="572" w:lineRule="exact"/>
        <w:ind w:firstLine="643"/>
        <w:textAlignment w:val="auto"/>
        <w:rPr>
          <w:rFonts w:hint="default" w:ascii="Times New Roman" w:hAnsi="Times New Roman" w:eastAsia="楷体_GB2312" w:cs="Times New Roman"/>
          <w:b/>
          <w:bCs w:val="0"/>
          <w:sz w:val="32"/>
          <w:highlight w:val="none"/>
        </w:rPr>
      </w:pPr>
      <w:r>
        <w:rPr>
          <w:rFonts w:hint="default" w:ascii="Times New Roman" w:hAnsi="Times New Roman" w:eastAsia="楷体_GB2312" w:cs="Times New Roman"/>
          <w:b/>
          <w:bCs w:val="0"/>
          <w:sz w:val="32"/>
          <w:highlight w:val="none"/>
          <w:lang w:eastAsia="zh-CN"/>
        </w:rPr>
        <w:t>（</w:t>
      </w:r>
      <w:r>
        <w:rPr>
          <w:rFonts w:hint="default" w:ascii="Times New Roman" w:hAnsi="Times New Roman" w:eastAsia="楷体_GB2312" w:cs="Times New Roman"/>
          <w:b/>
          <w:bCs w:val="0"/>
          <w:sz w:val="32"/>
          <w:highlight w:val="none"/>
          <w:lang w:val="en-US" w:eastAsia="zh-CN"/>
        </w:rPr>
        <w:t>一</w:t>
      </w:r>
      <w:r>
        <w:rPr>
          <w:rFonts w:hint="default" w:ascii="Times New Roman" w:hAnsi="Times New Roman" w:eastAsia="楷体_GB2312" w:cs="Times New Roman"/>
          <w:b/>
          <w:bCs w:val="0"/>
          <w:sz w:val="32"/>
          <w:highlight w:val="none"/>
          <w:lang w:eastAsia="zh-CN"/>
        </w:rPr>
        <w:t>）</w:t>
      </w:r>
      <w:r>
        <w:rPr>
          <w:rFonts w:hint="default" w:ascii="Times New Roman" w:hAnsi="Times New Roman" w:eastAsia="楷体_GB2312" w:cs="Times New Roman"/>
          <w:b/>
          <w:bCs w:val="0"/>
          <w:sz w:val="32"/>
          <w:highlight w:val="none"/>
          <w:lang w:val="en-US" w:eastAsia="zh-CN"/>
        </w:rPr>
        <w:t>总体</w:t>
      </w:r>
      <w:r>
        <w:rPr>
          <w:rFonts w:hint="default" w:ascii="Times New Roman" w:hAnsi="Times New Roman" w:eastAsia="楷体_GB2312" w:cs="Times New Roman"/>
          <w:b/>
          <w:bCs w:val="0"/>
          <w:sz w:val="32"/>
          <w:highlight w:val="none"/>
        </w:rPr>
        <w:t>评价结论</w:t>
      </w:r>
    </w:p>
    <w:p w14:paraId="10B52DB9">
      <w:pPr>
        <w:pStyle w:val="2"/>
        <w:ind w:firstLine="640"/>
        <w:rPr>
          <w:rFonts w:hint="eastAsia" w:cs="Times New Roman"/>
          <w:sz w:val="32"/>
          <w:highlight w:val="none"/>
        </w:rPr>
      </w:pPr>
      <w:r>
        <w:rPr>
          <w:rFonts w:hint="eastAsia" w:ascii="Times New Roman" w:hAnsi="Times New Roman" w:cs="Times New Roman"/>
          <w:sz w:val="32"/>
          <w:highlight w:val="none"/>
          <w:u w:val="single"/>
        </w:rPr>
        <w:t>韶关市曲江区</w:t>
      </w:r>
      <w:r>
        <w:rPr>
          <w:rFonts w:hint="eastAsia" w:cs="Times New Roman"/>
          <w:sz w:val="32"/>
          <w:highlight w:val="none"/>
        </w:rPr>
        <w:t>绩效自评总得分</w:t>
      </w:r>
      <w:r>
        <w:rPr>
          <w:rFonts w:hint="eastAsia" w:cs="Times New Roman"/>
          <w:sz w:val="32"/>
          <w:highlight w:val="none"/>
          <w:lang w:val="en-US" w:eastAsia="zh-CN"/>
        </w:rPr>
        <w:t>95.5</w:t>
      </w:r>
      <w:r>
        <w:rPr>
          <w:rFonts w:hint="eastAsia" w:cs="Times New Roman"/>
          <w:sz w:val="32"/>
          <w:highlight w:val="none"/>
        </w:rPr>
        <w:t>分、农业水价综合改革绩效自评96分、白蚁防治绩效自评98分。</w:t>
      </w:r>
    </w:p>
    <w:p w14:paraId="70989CD9">
      <w:pPr>
        <w:pStyle w:val="2"/>
        <w:ind w:firstLine="640"/>
        <w:rPr>
          <w:rFonts w:hint="eastAsia"/>
          <w:sz w:val="32"/>
          <w:szCs w:val="32"/>
          <w:highlight w:val="none"/>
          <w:u w:val="single"/>
        </w:rPr>
      </w:pPr>
      <w:r>
        <w:rPr>
          <w:rFonts w:hint="eastAsia"/>
          <w:sz w:val="32"/>
          <w:szCs w:val="32"/>
          <w:highlight w:val="none"/>
          <w:u w:val="single"/>
        </w:rPr>
        <w:t>202</w:t>
      </w:r>
      <w:r>
        <w:rPr>
          <w:rFonts w:hint="eastAsia"/>
          <w:sz w:val="32"/>
          <w:szCs w:val="32"/>
          <w:highlight w:val="none"/>
          <w:u w:val="single"/>
          <w:lang w:val="en-US" w:eastAsia="zh-CN"/>
        </w:rPr>
        <w:t>4</w:t>
      </w:r>
      <w:r>
        <w:rPr>
          <w:rFonts w:hint="eastAsia"/>
          <w:sz w:val="32"/>
          <w:szCs w:val="32"/>
          <w:highlight w:val="none"/>
          <w:u w:val="single"/>
        </w:rPr>
        <w:t>年度韶关市曲江区中央水利发展资金实施项目为</w:t>
      </w:r>
      <w:r>
        <w:rPr>
          <w:rFonts w:hint="eastAsia"/>
          <w:sz w:val="32"/>
          <w:szCs w:val="32"/>
          <w:highlight w:val="none"/>
          <w:u w:val="single"/>
          <w:lang w:val="en-US" w:eastAsia="zh-CN"/>
        </w:rPr>
        <w:t>3</w:t>
      </w:r>
      <w:r>
        <w:rPr>
          <w:rFonts w:hint="eastAsia"/>
          <w:sz w:val="32"/>
          <w:szCs w:val="32"/>
          <w:highlight w:val="none"/>
          <w:u w:val="single"/>
        </w:rPr>
        <w:t>宗，项目建设和实施均取得了一定成效，基本按照上级部门的要求按时按质完成任务。</w:t>
      </w:r>
    </w:p>
    <w:p w14:paraId="6ED9B9C3">
      <w:pPr>
        <w:pStyle w:val="2"/>
        <w:ind w:firstLine="640"/>
        <w:rPr>
          <w:rFonts w:hint="eastAsia"/>
          <w:sz w:val="32"/>
          <w:szCs w:val="32"/>
          <w:highlight w:val="none"/>
          <w:u w:val="single"/>
        </w:rPr>
      </w:pPr>
      <w:r>
        <w:rPr>
          <w:rFonts w:hint="eastAsia"/>
          <w:sz w:val="32"/>
          <w:szCs w:val="32"/>
          <w:highlight w:val="none"/>
          <w:u w:val="single"/>
        </w:rPr>
        <w:t>项目资金在使用过程中严格执行预算，加强预算控制，严格按照下达资金执行预算，无随意调整和截留、挪用、改变资金用途；工程建设资金使用遵循专款专用的原则，按规定用于批准的水利基本建设项目，没有挤占和挪用专款；工程资金按规定程序支付，监理部门及项目单位负责人签字，经办人对支付凭证的合法性、手续的完备性和资金金额的真实性审核无误后送区财政局直接支付。</w:t>
      </w:r>
    </w:p>
    <w:p w14:paraId="41657987">
      <w:pPr>
        <w:pStyle w:val="2"/>
        <w:ind w:firstLine="640"/>
        <w:rPr>
          <w:color w:val="auto"/>
          <w:sz w:val="28"/>
          <w:szCs w:val="22"/>
          <w:highlight w:val="none"/>
        </w:rPr>
      </w:pPr>
      <w:r>
        <w:rPr>
          <w:rFonts w:hint="eastAsia"/>
          <w:sz w:val="32"/>
          <w:szCs w:val="32"/>
          <w:highlight w:val="none"/>
          <w:u w:val="single"/>
        </w:rPr>
        <w:t>从目前</w:t>
      </w:r>
      <w:r>
        <w:rPr>
          <w:rFonts w:hint="eastAsia"/>
          <w:sz w:val="32"/>
          <w:szCs w:val="32"/>
          <w:highlight w:val="none"/>
          <w:u w:val="single"/>
          <w:lang w:eastAsia="zh-CN"/>
        </w:rPr>
        <w:t>项目</w:t>
      </w:r>
      <w:r>
        <w:rPr>
          <w:rFonts w:hint="eastAsia"/>
          <w:sz w:val="32"/>
          <w:szCs w:val="32"/>
          <w:highlight w:val="none"/>
          <w:u w:val="single"/>
        </w:rPr>
        <w:t>初步运行情况看，</w:t>
      </w:r>
      <w:r>
        <w:rPr>
          <w:rFonts w:hint="eastAsia"/>
          <w:sz w:val="32"/>
          <w:szCs w:val="32"/>
          <w:highlight w:val="none"/>
          <w:u w:val="single"/>
          <w:lang w:eastAsia="zh-CN"/>
        </w:rPr>
        <w:t>项目完成</w:t>
      </w:r>
      <w:r>
        <w:rPr>
          <w:rFonts w:hint="eastAsia"/>
          <w:sz w:val="32"/>
          <w:szCs w:val="32"/>
          <w:highlight w:val="none"/>
          <w:u w:val="single"/>
        </w:rPr>
        <w:t>质量</w:t>
      </w:r>
      <w:r>
        <w:rPr>
          <w:rFonts w:hint="eastAsia"/>
          <w:sz w:val="32"/>
          <w:szCs w:val="32"/>
          <w:highlight w:val="none"/>
          <w:u w:val="single"/>
          <w:lang w:eastAsia="zh-CN"/>
        </w:rPr>
        <w:t>达标</w:t>
      </w:r>
      <w:r>
        <w:rPr>
          <w:rFonts w:hint="eastAsia"/>
          <w:sz w:val="32"/>
          <w:szCs w:val="32"/>
          <w:highlight w:val="none"/>
          <w:u w:val="single"/>
        </w:rPr>
        <w:t>，建后管</w:t>
      </w:r>
      <w:r>
        <w:rPr>
          <w:rFonts w:hint="eastAsia"/>
          <w:sz w:val="32"/>
          <w:szCs w:val="32"/>
          <w:highlight w:val="none"/>
          <w:u w:val="single"/>
          <w:lang w:eastAsia="zh-CN"/>
        </w:rPr>
        <w:t>理</w:t>
      </w:r>
      <w:r>
        <w:rPr>
          <w:rFonts w:hint="eastAsia"/>
          <w:sz w:val="32"/>
          <w:szCs w:val="32"/>
          <w:highlight w:val="none"/>
          <w:u w:val="single"/>
        </w:rPr>
        <w:t>规范，</w:t>
      </w:r>
      <w:r>
        <w:rPr>
          <w:rFonts w:hint="eastAsia"/>
          <w:sz w:val="32"/>
          <w:szCs w:val="32"/>
          <w:highlight w:val="none"/>
          <w:u w:val="single"/>
          <w:lang w:eastAsia="zh-CN"/>
        </w:rPr>
        <w:t>服务效能显著增强</w:t>
      </w:r>
      <w:r>
        <w:rPr>
          <w:rFonts w:hint="eastAsia"/>
          <w:sz w:val="32"/>
          <w:szCs w:val="32"/>
          <w:highlight w:val="none"/>
          <w:u w:val="single"/>
        </w:rPr>
        <w:t>，深受群众欢迎和拥护</w:t>
      </w:r>
      <w:r>
        <w:rPr>
          <w:rFonts w:hint="eastAsia"/>
          <w:sz w:val="32"/>
          <w:szCs w:val="32"/>
          <w:highlight w:val="none"/>
          <w:u w:val="single"/>
          <w:lang w:eastAsia="zh-CN"/>
        </w:rPr>
        <w:t>，</w:t>
      </w:r>
      <w:r>
        <w:rPr>
          <w:rFonts w:hint="eastAsia"/>
          <w:sz w:val="32"/>
          <w:szCs w:val="32"/>
          <w:highlight w:val="none"/>
          <w:u w:val="single"/>
        </w:rPr>
        <w:t>达到了预期效果。</w:t>
      </w:r>
    </w:p>
    <w:p w14:paraId="0885A0F9">
      <w:pPr>
        <w:pStyle w:val="4"/>
        <w:pageBreakBefore w:val="0"/>
        <w:kinsoku/>
        <w:wordWrap/>
        <w:overflowPunct/>
        <w:topLinePunct w:val="0"/>
        <w:autoSpaceDE/>
        <w:autoSpaceDN/>
        <w:bidi w:val="0"/>
        <w:adjustRightInd/>
        <w:snapToGrid/>
        <w:spacing w:line="360" w:lineRule="auto"/>
        <w:ind w:firstLine="643"/>
        <w:textAlignment w:val="auto"/>
        <w:rPr>
          <w:rFonts w:hint="default" w:ascii="Times New Roman" w:hAnsi="Times New Roman" w:eastAsia="楷体_GB2312" w:cs="Times New Roman"/>
          <w:b/>
          <w:bCs w:val="0"/>
          <w:sz w:val="32"/>
          <w:highlight w:val="none"/>
        </w:rPr>
      </w:pPr>
      <w:r>
        <w:rPr>
          <w:rFonts w:hint="default" w:ascii="Times New Roman" w:hAnsi="Times New Roman" w:eastAsia="楷体_GB2312" w:cs="Times New Roman"/>
          <w:b/>
          <w:bCs w:val="0"/>
          <w:sz w:val="32"/>
          <w:highlight w:val="none"/>
        </w:rPr>
        <w:t>（</w:t>
      </w:r>
      <w:r>
        <w:rPr>
          <w:rFonts w:hint="eastAsia" w:eastAsia="楷体_GB2312" w:cs="Times New Roman"/>
          <w:b/>
          <w:bCs w:val="0"/>
          <w:sz w:val="32"/>
          <w:highlight w:val="none"/>
          <w:lang w:val="en-US" w:eastAsia="zh-CN"/>
        </w:rPr>
        <w:t>二</w:t>
      </w:r>
      <w:r>
        <w:rPr>
          <w:rFonts w:hint="default" w:ascii="Times New Roman" w:hAnsi="Times New Roman" w:eastAsia="楷体_GB2312" w:cs="Times New Roman"/>
          <w:b/>
          <w:bCs w:val="0"/>
          <w:sz w:val="32"/>
          <w:highlight w:val="none"/>
        </w:rPr>
        <w:t>）项目资金情况分析</w:t>
      </w:r>
    </w:p>
    <w:p w14:paraId="67D481CB">
      <w:pPr>
        <w:keepNext w:val="0"/>
        <w:keepLines w:val="0"/>
        <w:pageBreakBefore w:val="0"/>
        <w:widowControl w:val="0"/>
        <w:kinsoku/>
        <w:wordWrap/>
        <w:overflowPunct/>
        <w:topLinePunct w:val="0"/>
        <w:autoSpaceDE/>
        <w:autoSpaceDN/>
        <w:bidi w:val="0"/>
        <w:adjustRightInd/>
        <w:snapToGrid/>
        <w:spacing w:line="360" w:lineRule="auto"/>
        <w:ind w:firstLine="640"/>
        <w:textAlignment w:val="auto"/>
        <w:outlineLvl w:val="2"/>
        <w:rPr>
          <w:rFonts w:hint="default" w:ascii="Times New Roman" w:hAnsi="Times New Roman" w:cs="Times New Roman"/>
          <w:b/>
          <w:bCs/>
          <w:sz w:val="32"/>
          <w:szCs w:val="32"/>
          <w:highlight w:val="none"/>
        </w:rPr>
      </w:pPr>
      <w:r>
        <w:rPr>
          <w:rFonts w:hint="default" w:ascii="Times New Roman" w:hAnsi="Times New Roman" w:cs="Times New Roman"/>
          <w:b/>
          <w:bCs/>
          <w:sz w:val="32"/>
          <w:szCs w:val="32"/>
          <w:highlight w:val="none"/>
        </w:rPr>
        <w:t>1.资金到位情况</w:t>
      </w:r>
    </w:p>
    <w:p w14:paraId="514AE825">
      <w:pPr>
        <w:keepNext w:val="0"/>
        <w:keepLines w:val="0"/>
        <w:pageBreakBefore w:val="0"/>
        <w:widowControl/>
        <w:kinsoku/>
        <w:wordWrap/>
        <w:overflowPunct/>
        <w:topLinePunct w:val="0"/>
        <w:autoSpaceDE/>
        <w:autoSpaceDN/>
        <w:bidi w:val="0"/>
        <w:adjustRightInd/>
        <w:snapToGrid/>
        <w:spacing w:line="360" w:lineRule="auto"/>
        <w:ind w:firstLine="640"/>
        <w:textAlignment w:val="auto"/>
        <w:rPr>
          <w:rFonts w:hint="default" w:ascii="Times New Roman" w:hAnsi="Times New Roman" w:cs="Times New Roman"/>
          <w:color w:val="0070C0"/>
          <w:sz w:val="32"/>
          <w:highlight w:val="none"/>
        </w:rPr>
      </w:pPr>
      <w:r>
        <w:rPr>
          <w:rFonts w:ascii="仿宋_GB2312" w:hAnsi="仿宋_GB2312" w:cs="仿宋_GB2312"/>
          <w:sz w:val="32"/>
          <w:szCs w:val="32"/>
        </w:rPr>
        <w:t>202</w:t>
      </w:r>
      <w:r>
        <w:rPr>
          <w:rFonts w:hint="eastAsia" w:ascii="仿宋_GB2312" w:hAnsi="仿宋_GB2312" w:cs="仿宋_GB2312"/>
          <w:sz w:val="32"/>
          <w:szCs w:val="32"/>
          <w:lang w:val="en-US" w:eastAsia="zh-CN"/>
        </w:rPr>
        <w:t>4</w:t>
      </w:r>
      <w:r>
        <w:rPr>
          <w:rFonts w:hint="eastAsia" w:ascii="仿宋_GB2312" w:hAnsi="仿宋_GB2312" w:cs="仿宋_GB2312"/>
          <w:sz w:val="32"/>
          <w:szCs w:val="32"/>
        </w:rPr>
        <w:t>年度，批复预算投资</w:t>
      </w:r>
      <w:r>
        <w:rPr>
          <w:rFonts w:hint="eastAsia" w:ascii="仿宋_GB2312" w:hAnsi="仿宋_GB2312" w:cs="仿宋_GB2312"/>
          <w:sz w:val="32"/>
          <w:szCs w:val="32"/>
          <w:lang w:val="en-US" w:eastAsia="zh-CN"/>
        </w:rPr>
        <w:t>95</w:t>
      </w:r>
      <w:r>
        <w:rPr>
          <w:rFonts w:hint="eastAsia" w:ascii="仿宋_GB2312" w:hAnsi="仿宋_GB2312" w:cs="仿宋_GB2312"/>
          <w:sz w:val="32"/>
          <w:szCs w:val="32"/>
        </w:rPr>
        <w:t>万元，均为中央财政资金。截至</w:t>
      </w:r>
      <w:r>
        <w:rPr>
          <w:rFonts w:ascii="仿宋_GB2312" w:hAnsi="仿宋_GB2312" w:cs="仿宋_GB2312"/>
          <w:sz w:val="32"/>
          <w:szCs w:val="32"/>
        </w:rPr>
        <w:t>2024</w:t>
      </w:r>
      <w:r>
        <w:rPr>
          <w:rFonts w:hint="eastAsia" w:ascii="仿宋_GB2312" w:hAnsi="仿宋_GB2312" w:cs="仿宋_GB2312"/>
          <w:sz w:val="32"/>
          <w:szCs w:val="32"/>
        </w:rPr>
        <w:t>年</w:t>
      </w:r>
      <w:r>
        <w:rPr>
          <w:rFonts w:ascii="仿宋_GB2312" w:hAnsi="仿宋_GB2312" w:cs="仿宋_GB2312"/>
          <w:sz w:val="32"/>
          <w:szCs w:val="32"/>
        </w:rPr>
        <w:t>6</w:t>
      </w:r>
      <w:r>
        <w:rPr>
          <w:rFonts w:hint="eastAsia" w:ascii="仿宋_GB2312" w:hAnsi="仿宋_GB2312" w:cs="仿宋_GB2312"/>
          <w:sz w:val="32"/>
          <w:szCs w:val="32"/>
        </w:rPr>
        <w:t>月底，中央和省级财政资金到位</w:t>
      </w:r>
      <w:r>
        <w:rPr>
          <w:rFonts w:hint="eastAsia" w:ascii="仿宋_GB2312" w:hAnsi="仿宋_GB2312" w:cs="仿宋_GB2312"/>
          <w:sz w:val="32"/>
          <w:szCs w:val="32"/>
          <w:lang w:val="en-US" w:eastAsia="zh-CN"/>
        </w:rPr>
        <w:t>95</w:t>
      </w:r>
      <w:r>
        <w:rPr>
          <w:rFonts w:hint="eastAsia" w:ascii="仿宋_GB2312" w:hAnsi="仿宋_GB2312" w:cs="仿宋_GB2312"/>
          <w:sz w:val="32"/>
          <w:szCs w:val="32"/>
        </w:rPr>
        <w:t>万元，到位率</w:t>
      </w:r>
      <w:r>
        <w:rPr>
          <w:rFonts w:ascii="仿宋_GB2312" w:hAnsi="仿宋_GB2312" w:cs="仿宋_GB2312"/>
          <w:sz w:val="32"/>
          <w:szCs w:val="32"/>
        </w:rPr>
        <w:t>100%</w:t>
      </w:r>
      <w:r>
        <w:rPr>
          <w:rFonts w:hint="eastAsia" w:ascii="仿宋_GB2312" w:hAnsi="仿宋_GB2312" w:cs="仿宋_GB2312"/>
          <w:sz w:val="32"/>
          <w:szCs w:val="32"/>
        </w:rPr>
        <w:t>。</w:t>
      </w:r>
    </w:p>
    <w:p w14:paraId="22938205">
      <w:pPr>
        <w:pStyle w:val="2"/>
        <w:rPr>
          <w:rFonts w:hint="default" w:ascii="Times New Roman" w:hAnsi="Times New Roman" w:eastAsia="仿宋_GB2312"/>
          <w:sz w:val="32"/>
          <w:szCs w:val="32"/>
          <w:highlight w:val="none"/>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850" w:gutter="0"/>
          <w:cols w:space="425" w:num="1"/>
          <w:docGrid w:type="lines" w:linePitch="381" w:charSpace="0"/>
        </w:sectPr>
      </w:pPr>
    </w:p>
    <w:p w14:paraId="3DA4DD2E">
      <w:pPr>
        <w:ind w:firstLine="0" w:firstLineChars="0"/>
        <w:jc w:val="center"/>
        <w:rPr>
          <w:rFonts w:hint="default" w:ascii="Times New Roman" w:hAnsi="Times New Roman" w:cs="Times New Roman"/>
          <w:highlight w:val="none"/>
        </w:rPr>
      </w:pPr>
      <w:r>
        <w:rPr>
          <w:rFonts w:hint="default" w:ascii="Times New Roman" w:hAnsi="Times New Roman" w:cs="Times New Roman"/>
          <w:highlight w:val="none"/>
        </w:rPr>
        <w:t>表</w:t>
      </w:r>
      <w:r>
        <w:rPr>
          <w:rFonts w:hint="eastAsia" w:cs="Times New Roman"/>
          <w:highlight w:val="none"/>
          <w:lang w:val="en-US" w:eastAsia="zh-CN"/>
        </w:rPr>
        <w:t>2</w:t>
      </w:r>
      <w:r>
        <w:rPr>
          <w:rFonts w:hint="default" w:ascii="Times New Roman" w:hAnsi="Times New Roman" w:cs="Times New Roman"/>
          <w:highlight w:val="none"/>
        </w:rPr>
        <w:t xml:space="preserve">  202</w:t>
      </w:r>
      <w:r>
        <w:rPr>
          <w:rFonts w:hint="eastAsia" w:cs="Times New Roman"/>
          <w:highlight w:val="none"/>
          <w:lang w:val="en-US" w:eastAsia="zh-CN"/>
        </w:rPr>
        <w:t>4</w:t>
      </w:r>
      <w:r>
        <w:rPr>
          <w:rFonts w:hint="default" w:ascii="Times New Roman" w:hAnsi="Times New Roman" w:cs="Times New Roman"/>
          <w:highlight w:val="none"/>
        </w:rPr>
        <w:t>年度中央和省级财政资金到位情况表</w:t>
      </w:r>
    </w:p>
    <w:tbl>
      <w:tblPr>
        <w:tblStyle w:val="13"/>
        <w:tblW w:w="513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28" w:type="dxa"/>
        </w:tblCellMar>
      </w:tblPr>
      <w:tblGrid>
        <w:gridCol w:w="2160"/>
        <w:gridCol w:w="1125"/>
        <w:gridCol w:w="987"/>
        <w:gridCol w:w="1120"/>
        <w:gridCol w:w="1101"/>
        <w:gridCol w:w="1165"/>
        <w:gridCol w:w="1083"/>
        <w:gridCol w:w="1237"/>
        <w:gridCol w:w="928"/>
        <w:gridCol w:w="1186"/>
        <w:gridCol w:w="1223"/>
        <w:gridCol w:w="1043"/>
      </w:tblGrid>
      <w:tr w14:paraId="2C6D6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cantSplit/>
          <w:trHeight w:val="308" w:hRule="atLeast"/>
          <w:jc w:val="center"/>
        </w:trPr>
        <w:tc>
          <w:tcPr>
            <w:tcW w:w="2247" w:type="dxa"/>
            <w:vMerge w:val="restart"/>
            <w:vAlign w:val="center"/>
          </w:tcPr>
          <w:p w14:paraId="3EEE0AA6">
            <w:pPr>
              <w:pStyle w:val="32"/>
              <w:keepNext w:val="0"/>
              <w:keepLines w:val="0"/>
              <w:suppressLineNumbers w:val="0"/>
              <w:spacing w:before="0" w:beforeAutospacing="0" w:after="0" w:afterAutospacing="0" w:line="240" w:lineRule="auto"/>
              <w:ind w:left="0" w:right="0"/>
              <w:jc w:val="center"/>
              <w:rPr>
                <w:rFonts w:hint="default" w:ascii="Times New Roman" w:hAnsi="Times New Roman" w:cs="Times New Roman"/>
                <w:color w:val="auto"/>
                <w:kern w:val="0"/>
                <w:sz w:val="18"/>
                <w:szCs w:val="18"/>
                <w:highlight w:val="none"/>
              </w:rPr>
            </w:pPr>
            <w:r>
              <w:rPr>
                <w:rFonts w:hint="eastAsia" w:ascii="Times New Roman" w:hAnsi="Times New Roman" w:eastAsia="仿宋_GB2312" w:cs="Times New Roman"/>
                <w:color w:val="auto"/>
                <w:kern w:val="0"/>
                <w:sz w:val="18"/>
                <w:szCs w:val="18"/>
                <w:highlight w:val="none"/>
                <w:lang w:val="en-US" w:eastAsia="zh-CN" w:bidi="ar-SA"/>
              </w:rPr>
              <w:t>分类</w:t>
            </w:r>
          </w:p>
        </w:tc>
        <w:tc>
          <w:tcPr>
            <w:tcW w:w="1147" w:type="dxa"/>
            <w:vMerge w:val="restart"/>
            <w:vAlign w:val="center"/>
          </w:tcPr>
          <w:p w14:paraId="0727FA56">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批复预算数（万元）</w:t>
            </w:r>
          </w:p>
        </w:tc>
        <w:tc>
          <w:tcPr>
            <w:tcW w:w="10961" w:type="dxa"/>
            <w:gridSpan w:val="10"/>
            <w:vAlign w:val="center"/>
          </w:tcPr>
          <w:p w14:paraId="5640E5D9">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扣除脱贫县资金后</w:t>
            </w:r>
          </w:p>
        </w:tc>
      </w:tr>
      <w:tr w14:paraId="37C72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cantSplit/>
          <w:trHeight w:val="321" w:hRule="atLeast"/>
          <w:jc w:val="center"/>
        </w:trPr>
        <w:tc>
          <w:tcPr>
            <w:tcW w:w="2247" w:type="dxa"/>
            <w:vMerge w:val="continue"/>
            <w:vAlign w:val="center"/>
          </w:tcPr>
          <w:p w14:paraId="1E2BEC9B">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p>
        </w:tc>
        <w:tc>
          <w:tcPr>
            <w:tcW w:w="1147" w:type="dxa"/>
            <w:vMerge w:val="continue"/>
            <w:vAlign w:val="center"/>
          </w:tcPr>
          <w:p w14:paraId="17AB7422">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p>
        </w:tc>
        <w:tc>
          <w:tcPr>
            <w:tcW w:w="4464" w:type="dxa"/>
            <w:gridSpan w:val="4"/>
            <w:vAlign w:val="center"/>
          </w:tcPr>
          <w:p w14:paraId="303C8C62">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预算数（万元）</w:t>
            </w:r>
          </w:p>
        </w:tc>
        <w:tc>
          <w:tcPr>
            <w:tcW w:w="4528" w:type="dxa"/>
            <w:gridSpan w:val="4"/>
            <w:vAlign w:val="center"/>
          </w:tcPr>
          <w:p w14:paraId="37521AC8">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财政到位资金（万元）</w:t>
            </w:r>
          </w:p>
        </w:tc>
        <w:tc>
          <w:tcPr>
            <w:tcW w:w="1003" w:type="dxa"/>
            <w:vMerge w:val="restart"/>
            <w:vAlign w:val="center"/>
          </w:tcPr>
          <w:p w14:paraId="17E37342">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中央和省级财政资金到位率（%）</w:t>
            </w:r>
          </w:p>
        </w:tc>
        <w:tc>
          <w:tcPr>
            <w:tcW w:w="966" w:type="dxa"/>
            <w:vMerge w:val="restart"/>
            <w:vAlign w:val="center"/>
          </w:tcPr>
          <w:p w14:paraId="376C00AC">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市县财政资金到位率（%）</w:t>
            </w:r>
          </w:p>
        </w:tc>
      </w:tr>
      <w:tr w14:paraId="43F36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cantSplit/>
          <w:trHeight w:val="321" w:hRule="atLeast"/>
          <w:jc w:val="center"/>
        </w:trPr>
        <w:tc>
          <w:tcPr>
            <w:tcW w:w="2247" w:type="dxa"/>
            <w:vMerge w:val="continue"/>
            <w:vAlign w:val="center"/>
          </w:tcPr>
          <w:p w14:paraId="57782C99">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p>
        </w:tc>
        <w:tc>
          <w:tcPr>
            <w:tcW w:w="1147" w:type="dxa"/>
            <w:vMerge w:val="continue"/>
            <w:vAlign w:val="center"/>
          </w:tcPr>
          <w:p w14:paraId="7D3BA0E6">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p>
        </w:tc>
        <w:tc>
          <w:tcPr>
            <w:tcW w:w="1000" w:type="dxa"/>
            <w:vMerge w:val="restart"/>
            <w:vAlign w:val="center"/>
          </w:tcPr>
          <w:p w14:paraId="2D77980F">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总投资</w:t>
            </w:r>
          </w:p>
        </w:tc>
        <w:tc>
          <w:tcPr>
            <w:tcW w:w="3464" w:type="dxa"/>
            <w:gridSpan w:val="3"/>
            <w:vAlign w:val="center"/>
          </w:tcPr>
          <w:p w14:paraId="2B721EC7">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其中</w:t>
            </w:r>
          </w:p>
        </w:tc>
        <w:tc>
          <w:tcPr>
            <w:tcW w:w="1102" w:type="dxa"/>
            <w:vMerge w:val="restart"/>
            <w:vAlign w:val="center"/>
          </w:tcPr>
          <w:p w14:paraId="0028F5A7">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小计</w:t>
            </w:r>
          </w:p>
        </w:tc>
        <w:tc>
          <w:tcPr>
            <w:tcW w:w="3426" w:type="dxa"/>
            <w:gridSpan w:val="3"/>
            <w:vAlign w:val="center"/>
          </w:tcPr>
          <w:p w14:paraId="302541DB">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其中</w:t>
            </w:r>
          </w:p>
        </w:tc>
        <w:tc>
          <w:tcPr>
            <w:tcW w:w="1003" w:type="dxa"/>
            <w:vMerge w:val="continue"/>
            <w:vAlign w:val="center"/>
          </w:tcPr>
          <w:p w14:paraId="28DBFEBB">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p>
        </w:tc>
        <w:tc>
          <w:tcPr>
            <w:tcW w:w="966" w:type="dxa"/>
            <w:vMerge w:val="continue"/>
            <w:vAlign w:val="center"/>
          </w:tcPr>
          <w:p w14:paraId="2D1670C0">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p>
        </w:tc>
      </w:tr>
      <w:tr w14:paraId="5AD17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cantSplit/>
          <w:trHeight w:val="379" w:hRule="atLeast"/>
          <w:jc w:val="center"/>
        </w:trPr>
        <w:tc>
          <w:tcPr>
            <w:tcW w:w="2247" w:type="dxa"/>
            <w:vMerge w:val="continue"/>
            <w:vAlign w:val="center"/>
          </w:tcPr>
          <w:p w14:paraId="7A862353">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p>
        </w:tc>
        <w:tc>
          <w:tcPr>
            <w:tcW w:w="1147" w:type="dxa"/>
            <w:vMerge w:val="continue"/>
            <w:tcBorders>
              <w:bottom w:val="single" w:color="auto" w:sz="4" w:space="0"/>
            </w:tcBorders>
            <w:vAlign w:val="center"/>
          </w:tcPr>
          <w:p w14:paraId="671A6F4A">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p>
        </w:tc>
        <w:tc>
          <w:tcPr>
            <w:tcW w:w="1000" w:type="dxa"/>
            <w:vMerge w:val="continue"/>
            <w:tcBorders>
              <w:bottom w:val="single" w:color="auto" w:sz="4" w:space="0"/>
            </w:tcBorders>
            <w:vAlign w:val="center"/>
          </w:tcPr>
          <w:p w14:paraId="1B74E1A7">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p>
        </w:tc>
        <w:tc>
          <w:tcPr>
            <w:tcW w:w="1142" w:type="dxa"/>
            <w:tcBorders>
              <w:bottom w:val="single" w:color="auto" w:sz="4" w:space="0"/>
            </w:tcBorders>
            <w:vAlign w:val="center"/>
          </w:tcPr>
          <w:p w14:paraId="09584E44">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中央</w:t>
            </w:r>
          </w:p>
        </w:tc>
        <w:tc>
          <w:tcPr>
            <w:tcW w:w="1127" w:type="dxa"/>
            <w:tcBorders>
              <w:bottom w:val="single" w:color="auto" w:sz="4" w:space="0"/>
            </w:tcBorders>
            <w:vAlign w:val="center"/>
          </w:tcPr>
          <w:p w14:paraId="19B6BCEF">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省级</w:t>
            </w:r>
          </w:p>
        </w:tc>
        <w:tc>
          <w:tcPr>
            <w:tcW w:w="1195" w:type="dxa"/>
            <w:tcBorders>
              <w:bottom w:val="single" w:color="auto" w:sz="4" w:space="0"/>
            </w:tcBorders>
            <w:vAlign w:val="center"/>
          </w:tcPr>
          <w:p w14:paraId="1B95B143">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市县</w:t>
            </w:r>
          </w:p>
        </w:tc>
        <w:tc>
          <w:tcPr>
            <w:tcW w:w="1102" w:type="dxa"/>
            <w:vMerge w:val="continue"/>
            <w:tcBorders>
              <w:bottom w:val="single" w:color="auto" w:sz="4" w:space="0"/>
            </w:tcBorders>
            <w:vAlign w:val="center"/>
          </w:tcPr>
          <w:p w14:paraId="40C41D4B">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p>
        </w:tc>
        <w:tc>
          <w:tcPr>
            <w:tcW w:w="1266" w:type="dxa"/>
            <w:tcBorders>
              <w:bottom w:val="single" w:color="auto" w:sz="4" w:space="0"/>
            </w:tcBorders>
            <w:vAlign w:val="center"/>
          </w:tcPr>
          <w:p w14:paraId="0D48C13F">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中央</w:t>
            </w:r>
          </w:p>
        </w:tc>
        <w:tc>
          <w:tcPr>
            <w:tcW w:w="943" w:type="dxa"/>
            <w:tcBorders>
              <w:bottom w:val="single" w:color="auto" w:sz="4" w:space="0"/>
            </w:tcBorders>
            <w:vAlign w:val="center"/>
          </w:tcPr>
          <w:p w14:paraId="60599392">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省级</w:t>
            </w:r>
          </w:p>
        </w:tc>
        <w:tc>
          <w:tcPr>
            <w:tcW w:w="1217" w:type="dxa"/>
            <w:tcBorders>
              <w:bottom w:val="single" w:color="auto" w:sz="4" w:space="0"/>
            </w:tcBorders>
            <w:vAlign w:val="center"/>
          </w:tcPr>
          <w:p w14:paraId="7B7E167E">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市县</w:t>
            </w:r>
          </w:p>
        </w:tc>
        <w:tc>
          <w:tcPr>
            <w:tcW w:w="1003" w:type="dxa"/>
            <w:vMerge w:val="continue"/>
            <w:tcBorders>
              <w:bottom w:val="single" w:color="auto" w:sz="4" w:space="0"/>
            </w:tcBorders>
            <w:vAlign w:val="center"/>
          </w:tcPr>
          <w:p w14:paraId="4DE35092">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p>
        </w:tc>
        <w:tc>
          <w:tcPr>
            <w:tcW w:w="966" w:type="dxa"/>
            <w:vMerge w:val="continue"/>
            <w:tcBorders>
              <w:bottom w:val="single" w:color="auto" w:sz="4" w:space="0"/>
            </w:tcBorders>
            <w:vAlign w:val="center"/>
          </w:tcPr>
          <w:p w14:paraId="297D660A">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p>
        </w:tc>
      </w:tr>
      <w:tr w14:paraId="132BF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cantSplit/>
          <w:trHeight w:val="321" w:hRule="atLeast"/>
          <w:jc w:val="center"/>
        </w:trPr>
        <w:tc>
          <w:tcPr>
            <w:tcW w:w="2247" w:type="dxa"/>
            <w:vAlign w:val="center"/>
          </w:tcPr>
          <w:p w14:paraId="32CD8B94">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cs="Times New Roman"/>
                <w:sz w:val="18"/>
                <w:szCs w:val="18"/>
                <w:highlight w:val="none"/>
              </w:rPr>
              <w:t>填表说明</w:t>
            </w:r>
          </w:p>
        </w:tc>
        <w:tc>
          <w:tcPr>
            <w:tcW w:w="1147" w:type="dxa"/>
            <w:tcBorders>
              <w:bottom w:val="single" w:color="auto" w:sz="4" w:space="0"/>
            </w:tcBorders>
            <w:vAlign w:val="center"/>
          </w:tcPr>
          <w:p w14:paraId="4803AE13">
            <w:pPr>
              <w:keepNext w:val="0"/>
              <w:keepLines w:val="0"/>
              <w:widowControl/>
              <w:suppressLineNumbers w:val="0"/>
              <w:spacing w:before="0" w:beforeAutospacing="0" w:after="0" w:afterAutospacing="0" w:line="260" w:lineRule="exact"/>
              <w:ind w:left="0" w:right="0" w:firstLine="0" w:firstLineChars="0"/>
              <w:jc w:val="center"/>
              <w:rPr>
                <w:rFonts w:hint="eastAsia" w:ascii="Times New Roman" w:hAnsi="Times New Roman" w:eastAsia="仿宋_GB2312" w:cs="Times New Roman"/>
                <w:color w:val="auto"/>
                <w:kern w:val="0"/>
                <w:sz w:val="18"/>
                <w:szCs w:val="18"/>
                <w:highlight w:val="none"/>
                <w:lang w:eastAsia="zh-CN"/>
              </w:rPr>
            </w:pPr>
            <w:r>
              <w:rPr>
                <w:rFonts w:hint="eastAsia" w:cs="Times New Roman"/>
                <w:color w:val="auto"/>
                <w:kern w:val="0"/>
                <w:sz w:val="18"/>
                <w:szCs w:val="18"/>
                <w:highlight w:val="none"/>
                <w:lang w:eastAsia="zh-CN"/>
              </w:rPr>
              <w:t>（</w:t>
            </w:r>
            <w:r>
              <w:rPr>
                <w:rFonts w:hint="eastAsia" w:cs="Times New Roman"/>
                <w:color w:val="auto"/>
                <w:kern w:val="0"/>
                <w:sz w:val="18"/>
                <w:szCs w:val="18"/>
                <w:highlight w:val="none"/>
                <w:lang w:val="en-US" w:eastAsia="zh-CN"/>
              </w:rPr>
              <w:t>1</w:t>
            </w:r>
            <w:r>
              <w:rPr>
                <w:rFonts w:hint="eastAsia" w:cs="Times New Roman"/>
                <w:color w:val="auto"/>
                <w:kern w:val="0"/>
                <w:sz w:val="18"/>
                <w:szCs w:val="18"/>
                <w:highlight w:val="none"/>
                <w:lang w:eastAsia="zh-CN"/>
              </w:rPr>
              <w:t>）</w:t>
            </w:r>
          </w:p>
        </w:tc>
        <w:tc>
          <w:tcPr>
            <w:tcW w:w="1000" w:type="dxa"/>
            <w:tcBorders>
              <w:bottom w:val="single" w:color="auto" w:sz="4" w:space="0"/>
            </w:tcBorders>
            <w:vAlign w:val="center"/>
          </w:tcPr>
          <w:p w14:paraId="2A2272CE">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eastAsia" w:cs="Times New Roman"/>
                <w:color w:val="auto"/>
                <w:kern w:val="0"/>
                <w:sz w:val="18"/>
                <w:szCs w:val="18"/>
                <w:highlight w:val="none"/>
                <w:lang w:eastAsia="zh-CN"/>
              </w:rPr>
              <w:t>（</w:t>
            </w:r>
            <w:r>
              <w:rPr>
                <w:rFonts w:hint="eastAsia" w:cs="Times New Roman"/>
                <w:color w:val="auto"/>
                <w:kern w:val="0"/>
                <w:sz w:val="18"/>
                <w:szCs w:val="18"/>
                <w:highlight w:val="none"/>
                <w:lang w:val="en-US" w:eastAsia="zh-CN"/>
              </w:rPr>
              <w:t>1</w:t>
            </w:r>
            <w:r>
              <w:rPr>
                <w:rFonts w:hint="eastAsia" w:cs="Times New Roman"/>
                <w:color w:val="auto"/>
                <w:kern w:val="0"/>
                <w:sz w:val="18"/>
                <w:szCs w:val="18"/>
                <w:highlight w:val="none"/>
                <w:lang w:eastAsia="zh-CN"/>
              </w:rPr>
              <w:t>）</w:t>
            </w:r>
          </w:p>
        </w:tc>
        <w:tc>
          <w:tcPr>
            <w:tcW w:w="1142" w:type="dxa"/>
            <w:tcBorders>
              <w:bottom w:val="single" w:color="auto" w:sz="4" w:space="0"/>
            </w:tcBorders>
            <w:vAlign w:val="center"/>
          </w:tcPr>
          <w:p w14:paraId="58B3C3DC">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lang w:eastAsia="zh-CN"/>
              </w:rPr>
            </w:pPr>
            <w:r>
              <w:rPr>
                <w:rFonts w:hint="eastAsia" w:ascii="Times New Roman" w:hAnsi="Times New Roman" w:cs="Times New Roman"/>
                <w:color w:val="auto"/>
                <w:kern w:val="0"/>
                <w:sz w:val="18"/>
                <w:szCs w:val="18"/>
                <w:highlight w:val="none"/>
                <w:lang w:eastAsia="zh-CN"/>
              </w:rPr>
              <w:t>（</w:t>
            </w:r>
            <w:r>
              <w:rPr>
                <w:rFonts w:hint="default" w:ascii="Times New Roman" w:hAnsi="Times New Roman" w:cs="Times New Roman"/>
                <w:color w:val="auto"/>
                <w:kern w:val="0"/>
                <w:sz w:val="18"/>
                <w:szCs w:val="18"/>
                <w:highlight w:val="none"/>
                <w:lang w:eastAsia="zh-CN"/>
              </w:rPr>
              <w:t>2</w:t>
            </w:r>
            <w:r>
              <w:rPr>
                <w:rFonts w:hint="eastAsia" w:ascii="Times New Roman" w:hAnsi="Times New Roman" w:cs="Times New Roman"/>
                <w:color w:val="auto"/>
                <w:kern w:val="0"/>
                <w:sz w:val="18"/>
                <w:szCs w:val="18"/>
                <w:highlight w:val="none"/>
                <w:lang w:eastAsia="zh-CN"/>
              </w:rPr>
              <w:t>）</w:t>
            </w:r>
          </w:p>
        </w:tc>
        <w:tc>
          <w:tcPr>
            <w:tcW w:w="1127" w:type="dxa"/>
            <w:tcBorders>
              <w:bottom w:val="single" w:color="auto" w:sz="4" w:space="0"/>
            </w:tcBorders>
            <w:vAlign w:val="center"/>
          </w:tcPr>
          <w:p w14:paraId="24A4ED62">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lang w:eastAsia="zh-CN"/>
              </w:rPr>
            </w:pPr>
            <w:r>
              <w:rPr>
                <w:rFonts w:hint="eastAsia" w:ascii="Times New Roman" w:hAnsi="Times New Roman" w:cs="Times New Roman"/>
                <w:color w:val="auto"/>
                <w:kern w:val="0"/>
                <w:sz w:val="18"/>
                <w:szCs w:val="18"/>
                <w:highlight w:val="none"/>
                <w:lang w:eastAsia="zh-CN"/>
              </w:rPr>
              <w:t>（</w:t>
            </w:r>
            <w:r>
              <w:rPr>
                <w:rFonts w:hint="eastAsia" w:ascii="Times New Roman" w:hAnsi="Times New Roman" w:cs="Times New Roman"/>
                <w:color w:val="auto"/>
                <w:kern w:val="0"/>
                <w:sz w:val="18"/>
                <w:szCs w:val="18"/>
                <w:highlight w:val="none"/>
                <w:lang w:val="en-US" w:eastAsia="zh-CN"/>
              </w:rPr>
              <w:t>3</w:t>
            </w:r>
            <w:r>
              <w:rPr>
                <w:rFonts w:hint="eastAsia" w:ascii="Times New Roman" w:hAnsi="Times New Roman" w:cs="Times New Roman"/>
                <w:color w:val="auto"/>
                <w:kern w:val="0"/>
                <w:sz w:val="18"/>
                <w:szCs w:val="18"/>
                <w:highlight w:val="none"/>
                <w:lang w:eastAsia="zh-CN"/>
              </w:rPr>
              <w:t>）</w:t>
            </w:r>
          </w:p>
        </w:tc>
        <w:tc>
          <w:tcPr>
            <w:tcW w:w="1195" w:type="dxa"/>
            <w:tcBorders>
              <w:bottom w:val="single" w:color="auto" w:sz="4" w:space="0"/>
            </w:tcBorders>
            <w:vAlign w:val="center"/>
          </w:tcPr>
          <w:p w14:paraId="36F0ABC9">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lang w:eastAsia="zh-CN"/>
              </w:rPr>
            </w:pPr>
            <w:r>
              <w:rPr>
                <w:rFonts w:hint="eastAsia" w:ascii="Times New Roman" w:hAnsi="Times New Roman" w:cs="Times New Roman"/>
                <w:color w:val="auto"/>
                <w:kern w:val="0"/>
                <w:sz w:val="18"/>
                <w:szCs w:val="18"/>
                <w:highlight w:val="none"/>
                <w:lang w:eastAsia="zh-CN"/>
              </w:rPr>
              <w:t>（</w:t>
            </w:r>
            <w:r>
              <w:rPr>
                <w:rFonts w:hint="eastAsia" w:ascii="Times New Roman" w:hAnsi="Times New Roman" w:cs="Times New Roman"/>
                <w:color w:val="auto"/>
                <w:kern w:val="0"/>
                <w:sz w:val="18"/>
                <w:szCs w:val="18"/>
                <w:highlight w:val="none"/>
                <w:lang w:val="en-US" w:eastAsia="zh-CN"/>
              </w:rPr>
              <w:t>4</w:t>
            </w:r>
            <w:r>
              <w:rPr>
                <w:rFonts w:hint="eastAsia" w:ascii="Times New Roman" w:hAnsi="Times New Roman" w:cs="Times New Roman"/>
                <w:color w:val="auto"/>
                <w:kern w:val="0"/>
                <w:sz w:val="18"/>
                <w:szCs w:val="18"/>
                <w:highlight w:val="none"/>
                <w:lang w:eastAsia="zh-CN"/>
              </w:rPr>
              <w:t>）</w:t>
            </w:r>
          </w:p>
        </w:tc>
        <w:tc>
          <w:tcPr>
            <w:tcW w:w="1102" w:type="dxa"/>
            <w:tcBorders>
              <w:bottom w:val="single" w:color="auto" w:sz="4" w:space="0"/>
            </w:tcBorders>
            <w:vAlign w:val="center"/>
          </w:tcPr>
          <w:p w14:paraId="7D246738">
            <w:pPr>
              <w:keepNext w:val="0"/>
              <w:keepLines w:val="0"/>
              <w:widowControl/>
              <w:suppressLineNumbers w:val="0"/>
              <w:spacing w:before="0" w:beforeAutospacing="0" w:after="0" w:afterAutospacing="0" w:line="260" w:lineRule="exact"/>
              <w:ind w:left="0" w:right="0" w:firstLine="0" w:firstLineChars="0"/>
              <w:jc w:val="center"/>
              <w:rPr>
                <w:rFonts w:hint="eastAsia" w:ascii="Times New Roman" w:hAnsi="Times New Roman" w:eastAsia="仿宋_GB2312" w:cs="Times New Roman"/>
                <w:color w:val="auto"/>
                <w:kern w:val="0"/>
                <w:sz w:val="18"/>
                <w:szCs w:val="18"/>
                <w:highlight w:val="none"/>
                <w:lang w:eastAsia="zh-CN"/>
              </w:rPr>
            </w:pPr>
            <w:r>
              <w:rPr>
                <w:rFonts w:hint="eastAsia" w:cs="Times New Roman"/>
                <w:color w:val="auto"/>
                <w:kern w:val="0"/>
                <w:sz w:val="18"/>
                <w:szCs w:val="18"/>
                <w:highlight w:val="none"/>
                <w:lang w:eastAsia="zh-CN"/>
              </w:rPr>
              <w:t>（</w:t>
            </w:r>
            <w:r>
              <w:rPr>
                <w:rFonts w:hint="eastAsia" w:cs="Times New Roman"/>
                <w:color w:val="auto"/>
                <w:kern w:val="0"/>
                <w:sz w:val="18"/>
                <w:szCs w:val="18"/>
                <w:highlight w:val="none"/>
                <w:lang w:val="en-US" w:eastAsia="zh-CN"/>
              </w:rPr>
              <w:t>5</w:t>
            </w:r>
            <w:r>
              <w:rPr>
                <w:rFonts w:hint="eastAsia" w:cs="Times New Roman"/>
                <w:color w:val="auto"/>
                <w:kern w:val="0"/>
                <w:sz w:val="18"/>
                <w:szCs w:val="18"/>
                <w:highlight w:val="none"/>
                <w:lang w:eastAsia="zh-CN"/>
              </w:rPr>
              <w:t>）</w:t>
            </w:r>
          </w:p>
        </w:tc>
        <w:tc>
          <w:tcPr>
            <w:tcW w:w="1266" w:type="dxa"/>
            <w:tcBorders>
              <w:bottom w:val="single" w:color="auto" w:sz="4" w:space="0"/>
            </w:tcBorders>
            <w:vAlign w:val="center"/>
          </w:tcPr>
          <w:p w14:paraId="33AA267E">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eastAsia="仿宋_GB2312" w:cs="Times New Roman"/>
                <w:color w:val="auto"/>
                <w:kern w:val="0"/>
                <w:sz w:val="18"/>
                <w:szCs w:val="18"/>
                <w:highlight w:val="none"/>
                <w:lang w:val="en-US" w:eastAsia="zh-CN" w:bidi="ar-SA"/>
              </w:rPr>
            </w:pPr>
            <w:r>
              <w:rPr>
                <w:rFonts w:hint="eastAsia" w:ascii="Times New Roman" w:hAnsi="Times New Roman" w:cs="Times New Roman"/>
                <w:color w:val="auto"/>
                <w:kern w:val="0"/>
                <w:sz w:val="18"/>
                <w:szCs w:val="18"/>
                <w:highlight w:val="none"/>
                <w:lang w:eastAsia="zh-CN"/>
              </w:rPr>
              <w:t>（</w:t>
            </w:r>
            <w:r>
              <w:rPr>
                <w:rFonts w:hint="default" w:ascii="Times New Roman" w:hAnsi="Times New Roman" w:cs="Times New Roman"/>
                <w:color w:val="auto"/>
                <w:kern w:val="0"/>
                <w:sz w:val="18"/>
                <w:szCs w:val="18"/>
                <w:highlight w:val="none"/>
                <w:lang w:eastAsia="zh-CN"/>
              </w:rPr>
              <w:t>2</w:t>
            </w:r>
            <w:r>
              <w:rPr>
                <w:rFonts w:hint="eastAsia" w:ascii="Times New Roman" w:hAnsi="Times New Roman" w:cs="Times New Roman"/>
                <w:color w:val="auto"/>
                <w:kern w:val="0"/>
                <w:sz w:val="18"/>
                <w:szCs w:val="18"/>
                <w:highlight w:val="none"/>
                <w:lang w:eastAsia="zh-CN"/>
              </w:rPr>
              <w:t>）</w:t>
            </w:r>
          </w:p>
        </w:tc>
        <w:tc>
          <w:tcPr>
            <w:tcW w:w="943" w:type="dxa"/>
            <w:tcBorders>
              <w:bottom w:val="single" w:color="auto" w:sz="4" w:space="0"/>
            </w:tcBorders>
            <w:vAlign w:val="center"/>
          </w:tcPr>
          <w:p w14:paraId="2D1FD5C0">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eastAsia="仿宋_GB2312" w:cs="Times New Roman"/>
                <w:color w:val="auto"/>
                <w:kern w:val="0"/>
                <w:sz w:val="18"/>
                <w:szCs w:val="18"/>
                <w:highlight w:val="none"/>
                <w:lang w:val="en-US" w:eastAsia="zh-CN" w:bidi="ar-SA"/>
              </w:rPr>
            </w:pPr>
            <w:r>
              <w:rPr>
                <w:rFonts w:hint="eastAsia" w:ascii="Times New Roman" w:hAnsi="Times New Roman" w:cs="Times New Roman"/>
                <w:color w:val="auto"/>
                <w:kern w:val="0"/>
                <w:sz w:val="18"/>
                <w:szCs w:val="18"/>
                <w:highlight w:val="none"/>
                <w:lang w:eastAsia="zh-CN"/>
              </w:rPr>
              <w:t>（</w:t>
            </w:r>
            <w:r>
              <w:rPr>
                <w:rFonts w:hint="eastAsia" w:ascii="Times New Roman" w:hAnsi="Times New Roman" w:cs="Times New Roman"/>
                <w:color w:val="auto"/>
                <w:kern w:val="0"/>
                <w:sz w:val="18"/>
                <w:szCs w:val="18"/>
                <w:highlight w:val="none"/>
                <w:lang w:val="en-US" w:eastAsia="zh-CN"/>
              </w:rPr>
              <w:t>3</w:t>
            </w:r>
            <w:r>
              <w:rPr>
                <w:rFonts w:hint="eastAsia" w:ascii="Times New Roman" w:hAnsi="Times New Roman" w:cs="Times New Roman"/>
                <w:color w:val="auto"/>
                <w:kern w:val="0"/>
                <w:sz w:val="18"/>
                <w:szCs w:val="18"/>
                <w:highlight w:val="none"/>
                <w:lang w:eastAsia="zh-CN"/>
              </w:rPr>
              <w:t>）</w:t>
            </w:r>
          </w:p>
        </w:tc>
        <w:tc>
          <w:tcPr>
            <w:tcW w:w="1217" w:type="dxa"/>
            <w:tcBorders>
              <w:bottom w:val="single" w:color="auto" w:sz="4" w:space="0"/>
            </w:tcBorders>
            <w:vAlign w:val="center"/>
          </w:tcPr>
          <w:p w14:paraId="1F52DDB3">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eastAsia="仿宋_GB2312" w:cs="Times New Roman"/>
                <w:color w:val="auto"/>
                <w:kern w:val="0"/>
                <w:sz w:val="18"/>
                <w:szCs w:val="18"/>
                <w:highlight w:val="none"/>
                <w:lang w:val="en-US" w:eastAsia="zh-CN" w:bidi="ar-SA"/>
              </w:rPr>
            </w:pPr>
            <w:r>
              <w:rPr>
                <w:rFonts w:hint="eastAsia" w:ascii="Times New Roman" w:hAnsi="Times New Roman" w:cs="Times New Roman"/>
                <w:color w:val="auto"/>
                <w:kern w:val="0"/>
                <w:sz w:val="18"/>
                <w:szCs w:val="18"/>
                <w:highlight w:val="none"/>
                <w:lang w:eastAsia="zh-CN"/>
              </w:rPr>
              <w:t>（</w:t>
            </w:r>
            <w:r>
              <w:rPr>
                <w:rFonts w:hint="eastAsia" w:ascii="Times New Roman" w:hAnsi="Times New Roman" w:cs="Times New Roman"/>
                <w:color w:val="auto"/>
                <w:kern w:val="0"/>
                <w:sz w:val="18"/>
                <w:szCs w:val="18"/>
                <w:highlight w:val="none"/>
                <w:lang w:val="en-US" w:eastAsia="zh-CN"/>
              </w:rPr>
              <w:t>4</w:t>
            </w:r>
            <w:r>
              <w:rPr>
                <w:rFonts w:hint="eastAsia" w:ascii="Times New Roman" w:hAnsi="Times New Roman" w:cs="Times New Roman"/>
                <w:color w:val="auto"/>
                <w:kern w:val="0"/>
                <w:sz w:val="18"/>
                <w:szCs w:val="18"/>
                <w:highlight w:val="none"/>
                <w:lang w:eastAsia="zh-CN"/>
              </w:rPr>
              <w:t>）</w:t>
            </w:r>
          </w:p>
        </w:tc>
        <w:tc>
          <w:tcPr>
            <w:tcW w:w="1003" w:type="dxa"/>
            <w:tcBorders>
              <w:bottom w:val="single" w:color="auto" w:sz="4" w:space="0"/>
            </w:tcBorders>
            <w:vAlign w:val="center"/>
          </w:tcPr>
          <w:p w14:paraId="0C0E5B45">
            <w:pPr>
              <w:keepNext w:val="0"/>
              <w:keepLines w:val="0"/>
              <w:widowControl/>
              <w:suppressLineNumbers w:val="0"/>
              <w:spacing w:before="0" w:beforeAutospacing="0" w:after="0" w:afterAutospacing="0" w:line="260" w:lineRule="exact"/>
              <w:ind w:left="0" w:right="0" w:firstLine="0" w:firstLineChars="0"/>
              <w:jc w:val="center"/>
              <w:rPr>
                <w:rFonts w:hint="eastAsia" w:ascii="Times New Roman" w:hAnsi="Times New Roman" w:eastAsia="仿宋_GB2312" w:cs="Times New Roman"/>
                <w:color w:val="auto"/>
                <w:kern w:val="0"/>
                <w:sz w:val="18"/>
                <w:szCs w:val="18"/>
                <w:highlight w:val="none"/>
                <w:lang w:eastAsia="zh-CN"/>
              </w:rPr>
            </w:pPr>
            <w:r>
              <w:rPr>
                <w:rFonts w:hint="eastAsia" w:cs="Times New Roman"/>
                <w:color w:val="auto"/>
                <w:kern w:val="0"/>
                <w:sz w:val="18"/>
                <w:szCs w:val="18"/>
                <w:highlight w:val="none"/>
                <w:lang w:eastAsia="zh-CN"/>
              </w:rPr>
              <w:t>（</w:t>
            </w:r>
            <w:r>
              <w:rPr>
                <w:rFonts w:hint="eastAsia" w:cs="Times New Roman"/>
                <w:color w:val="auto"/>
                <w:kern w:val="0"/>
                <w:sz w:val="18"/>
                <w:szCs w:val="18"/>
                <w:highlight w:val="none"/>
                <w:lang w:val="en-US" w:eastAsia="zh-CN"/>
              </w:rPr>
              <w:t>6</w:t>
            </w:r>
            <w:r>
              <w:rPr>
                <w:rFonts w:hint="eastAsia" w:cs="Times New Roman"/>
                <w:color w:val="auto"/>
                <w:kern w:val="0"/>
                <w:sz w:val="18"/>
                <w:szCs w:val="18"/>
                <w:highlight w:val="none"/>
                <w:lang w:eastAsia="zh-CN"/>
              </w:rPr>
              <w:t>）</w:t>
            </w:r>
          </w:p>
        </w:tc>
        <w:tc>
          <w:tcPr>
            <w:tcW w:w="966" w:type="dxa"/>
            <w:tcBorders>
              <w:bottom w:val="single" w:color="auto" w:sz="4" w:space="0"/>
            </w:tcBorders>
            <w:vAlign w:val="center"/>
          </w:tcPr>
          <w:p w14:paraId="114FD04F">
            <w:pPr>
              <w:keepNext w:val="0"/>
              <w:keepLines w:val="0"/>
              <w:widowControl/>
              <w:suppressLineNumbers w:val="0"/>
              <w:spacing w:before="0" w:beforeAutospacing="0" w:after="0" w:afterAutospacing="0" w:line="260" w:lineRule="exact"/>
              <w:ind w:left="0" w:right="0" w:firstLine="0" w:firstLineChars="0"/>
              <w:jc w:val="center"/>
              <w:rPr>
                <w:rFonts w:hint="eastAsia" w:ascii="Times New Roman" w:hAnsi="Times New Roman" w:eastAsia="仿宋_GB2312" w:cs="Times New Roman"/>
                <w:color w:val="auto"/>
                <w:kern w:val="0"/>
                <w:sz w:val="18"/>
                <w:szCs w:val="18"/>
                <w:highlight w:val="none"/>
                <w:lang w:eastAsia="zh-CN"/>
              </w:rPr>
            </w:pPr>
            <w:r>
              <w:rPr>
                <w:rFonts w:hint="eastAsia" w:cs="Times New Roman"/>
                <w:color w:val="auto"/>
                <w:kern w:val="0"/>
                <w:sz w:val="18"/>
                <w:szCs w:val="18"/>
                <w:highlight w:val="none"/>
                <w:lang w:eastAsia="zh-CN"/>
              </w:rPr>
              <w:t>（</w:t>
            </w:r>
            <w:r>
              <w:rPr>
                <w:rFonts w:hint="eastAsia" w:cs="Times New Roman"/>
                <w:color w:val="auto"/>
                <w:kern w:val="0"/>
                <w:sz w:val="18"/>
                <w:szCs w:val="18"/>
                <w:highlight w:val="none"/>
                <w:lang w:val="en-US" w:eastAsia="zh-CN"/>
              </w:rPr>
              <w:t>7</w:t>
            </w:r>
            <w:r>
              <w:rPr>
                <w:rFonts w:hint="eastAsia" w:cs="Times New Roman"/>
                <w:color w:val="auto"/>
                <w:kern w:val="0"/>
                <w:sz w:val="18"/>
                <w:szCs w:val="18"/>
                <w:highlight w:val="none"/>
                <w:lang w:eastAsia="zh-CN"/>
              </w:rPr>
              <w:t>）</w:t>
            </w:r>
          </w:p>
        </w:tc>
      </w:tr>
      <w:tr w14:paraId="5B78E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jc w:val="center"/>
        </w:trPr>
        <w:tc>
          <w:tcPr>
            <w:tcBorders>
              <w:top w:val="single" w:color="auto" w:sz="4" w:space="0"/>
              <w:left w:val="single" w:color="auto" w:sz="4" w:space="0"/>
              <w:bottom w:val="single" w:color="auto" w:sz="4" w:space="0"/>
              <w:right w:val="single" w:color="auto" w:sz="4" w:space="0"/>
            </w:tcBorders>
          </w:tcPr>
          <w:p w14:paraId="16786DB2">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小型水库维修养护</w:t>
            </w:r>
          </w:p>
        </w:tc>
        <w:tc>
          <w:tcPr>
            <w:tcBorders>
              <w:top w:val="single" w:color="auto" w:sz="4" w:space="0"/>
              <w:left w:val="single" w:color="auto" w:sz="4" w:space="0"/>
              <w:bottom w:val="single" w:color="auto" w:sz="4" w:space="0"/>
              <w:right w:val="single" w:color="auto" w:sz="4" w:space="0"/>
            </w:tcBorders>
          </w:tcPr>
          <w:p w14:paraId="51B7D432">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40</w:t>
            </w:r>
          </w:p>
        </w:tc>
        <w:tc>
          <w:tcPr>
            <w:tcBorders>
              <w:top w:val="single" w:color="auto" w:sz="4" w:space="0"/>
              <w:left w:val="single" w:color="auto" w:sz="4" w:space="0"/>
              <w:bottom w:val="single" w:color="auto" w:sz="4" w:space="0"/>
              <w:right w:val="single" w:color="auto" w:sz="4" w:space="0"/>
            </w:tcBorders>
          </w:tcPr>
          <w:p w14:paraId="1A3F951D">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40</w:t>
            </w:r>
          </w:p>
        </w:tc>
        <w:tc>
          <w:tcPr>
            <w:tcBorders>
              <w:top w:val="single" w:color="auto" w:sz="4" w:space="0"/>
              <w:left w:val="single" w:color="auto" w:sz="4" w:space="0"/>
              <w:bottom w:val="single" w:color="auto" w:sz="4" w:space="0"/>
              <w:right w:val="single" w:color="auto" w:sz="4" w:space="0"/>
            </w:tcBorders>
          </w:tcPr>
          <w:p w14:paraId="45DA21A9">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40</w:t>
            </w:r>
          </w:p>
        </w:tc>
        <w:tc>
          <w:tcPr>
            <w:tcBorders>
              <w:top w:val="single" w:color="auto" w:sz="4" w:space="0"/>
              <w:left w:val="single" w:color="auto" w:sz="4" w:space="0"/>
              <w:bottom w:val="single" w:color="auto" w:sz="4" w:space="0"/>
              <w:right w:val="single" w:color="auto" w:sz="4" w:space="0"/>
            </w:tcBorders>
          </w:tcPr>
          <w:p w14:paraId="3CD16898">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68C6757D">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0C7ED20E">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40</w:t>
            </w:r>
          </w:p>
        </w:tc>
        <w:tc>
          <w:tcPr>
            <w:tcBorders>
              <w:top w:val="single" w:color="auto" w:sz="4" w:space="0"/>
              <w:left w:val="single" w:color="auto" w:sz="4" w:space="0"/>
              <w:bottom w:val="single" w:color="auto" w:sz="4" w:space="0"/>
              <w:right w:val="single" w:color="auto" w:sz="4" w:space="0"/>
            </w:tcBorders>
          </w:tcPr>
          <w:p w14:paraId="3D2B4F29">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40</w:t>
            </w:r>
          </w:p>
        </w:tc>
        <w:tc>
          <w:tcPr>
            <w:tcBorders>
              <w:top w:val="single" w:color="auto" w:sz="4" w:space="0"/>
              <w:left w:val="single" w:color="auto" w:sz="4" w:space="0"/>
              <w:bottom w:val="single" w:color="auto" w:sz="4" w:space="0"/>
              <w:right w:val="single" w:color="auto" w:sz="4" w:space="0"/>
            </w:tcBorders>
          </w:tcPr>
          <w:p w14:paraId="691B6932">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561E2D4A">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74E30F31">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100.00%</w:t>
            </w:r>
          </w:p>
        </w:tc>
        <w:tc>
          <w:tcPr>
            <w:tcBorders>
              <w:top w:val="single" w:color="auto" w:sz="4" w:space="0"/>
              <w:left w:val="single" w:color="auto" w:sz="4" w:space="0"/>
              <w:bottom w:val="single" w:color="auto" w:sz="4" w:space="0"/>
              <w:right w:val="single" w:color="auto" w:sz="4" w:space="0"/>
            </w:tcBorders>
          </w:tcPr>
          <w:p w14:paraId="599901DD">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0.00%</w:t>
            </w:r>
          </w:p>
        </w:tc>
      </w:tr>
      <w:tr w14:paraId="46066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jc w:val="center"/>
        </w:trPr>
        <w:tc>
          <w:tcPr>
            <w:tcBorders>
              <w:top w:val="single" w:color="auto" w:sz="4" w:space="0"/>
              <w:left w:val="single" w:color="auto" w:sz="4" w:space="0"/>
              <w:bottom w:val="single" w:color="auto" w:sz="4" w:space="0"/>
              <w:right w:val="single" w:color="auto" w:sz="4" w:space="0"/>
            </w:tcBorders>
          </w:tcPr>
          <w:p w14:paraId="7DB40503">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白蚁防治</w:t>
            </w:r>
          </w:p>
        </w:tc>
        <w:tc>
          <w:tcPr>
            <w:tcBorders>
              <w:top w:val="single" w:color="auto" w:sz="4" w:space="0"/>
              <w:left w:val="single" w:color="auto" w:sz="4" w:space="0"/>
              <w:bottom w:val="single" w:color="auto" w:sz="4" w:space="0"/>
              <w:right w:val="single" w:color="auto" w:sz="4" w:space="0"/>
            </w:tcBorders>
          </w:tcPr>
          <w:p w14:paraId="47339B18">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31</w:t>
            </w:r>
          </w:p>
        </w:tc>
        <w:tc>
          <w:tcPr>
            <w:tcBorders>
              <w:top w:val="single" w:color="auto" w:sz="4" w:space="0"/>
              <w:left w:val="single" w:color="auto" w:sz="4" w:space="0"/>
              <w:bottom w:val="single" w:color="auto" w:sz="4" w:space="0"/>
              <w:right w:val="single" w:color="auto" w:sz="4" w:space="0"/>
            </w:tcBorders>
          </w:tcPr>
          <w:p w14:paraId="0C0934D9">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31</w:t>
            </w:r>
          </w:p>
        </w:tc>
        <w:tc>
          <w:tcPr>
            <w:tcBorders>
              <w:top w:val="single" w:color="auto" w:sz="4" w:space="0"/>
              <w:left w:val="single" w:color="auto" w:sz="4" w:space="0"/>
              <w:bottom w:val="single" w:color="auto" w:sz="4" w:space="0"/>
              <w:right w:val="single" w:color="auto" w:sz="4" w:space="0"/>
            </w:tcBorders>
          </w:tcPr>
          <w:p w14:paraId="222111FC">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31</w:t>
            </w:r>
          </w:p>
        </w:tc>
        <w:tc>
          <w:tcPr>
            <w:tcBorders>
              <w:top w:val="single" w:color="auto" w:sz="4" w:space="0"/>
              <w:left w:val="single" w:color="auto" w:sz="4" w:space="0"/>
              <w:bottom w:val="single" w:color="auto" w:sz="4" w:space="0"/>
              <w:right w:val="single" w:color="auto" w:sz="4" w:space="0"/>
            </w:tcBorders>
          </w:tcPr>
          <w:p w14:paraId="043731C8">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6A4CFCAA">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27529EA2">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31</w:t>
            </w:r>
          </w:p>
        </w:tc>
        <w:tc>
          <w:tcPr>
            <w:tcBorders>
              <w:top w:val="single" w:color="auto" w:sz="4" w:space="0"/>
              <w:left w:val="single" w:color="auto" w:sz="4" w:space="0"/>
              <w:bottom w:val="single" w:color="auto" w:sz="4" w:space="0"/>
              <w:right w:val="single" w:color="auto" w:sz="4" w:space="0"/>
            </w:tcBorders>
          </w:tcPr>
          <w:p w14:paraId="6EB9F618">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31</w:t>
            </w:r>
          </w:p>
        </w:tc>
        <w:tc>
          <w:tcPr>
            <w:tcBorders>
              <w:top w:val="single" w:color="auto" w:sz="4" w:space="0"/>
              <w:left w:val="single" w:color="auto" w:sz="4" w:space="0"/>
              <w:bottom w:val="single" w:color="auto" w:sz="4" w:space="0"/>
              <w:right w:val="single" w:color="auto" w:sz="4" w:space="0"/>
            </w:tcBorders>
          </w:tcPr>
          <w:p w14:paraId="004499B5">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200CBDCF">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5FB857A7">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100.00%</w:t>
            </w:r>
          </w:p>
        </w:tc>
        <w:tc>
          <w:tcPr>
            <w:tcBorders>
              <w:top w:val="single" w:color="auto" w:sz="4" w:space="0"/>
              <w:left w:val="single" w:color="auto" w:sz="4" w:space="0"/>
              <w:bottom w:val="single" w:color="auto" w:sz="4" w:space="0"/>
              <w:right w:val="single" w:color="auto" w:sz="4" w:space="0"/>
            </w:tcBorders>
          </w:tcPr>
          <w:p w14:paraId="358B6DF0">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0.00%</w:t>
            </w:r>
          </w:p>
        </w:tc>
      </w:tr>
      <w:tr w14:paraId="611F7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jc w:val="center"/>
        </w:trPr>
        <w:tc>
          <w:tcPr>
            <w:tcBorders>
              <w:top w:val="single" w:color="auto" w:sz="4" w:space="0"/>
              <w:left w:val="single" w:color="auto" w:sz="4" w:space="0"/>
              <w:bottom w:val="single" w:color="auto" w:sz="4" w:space="0"/>
              <w:right w:val="single" w:color="auto" w:sz="4" w:space="0"/>
            </w:tcBorders>
          </w:tcPr>
          <w:p w14:paraId="3B60CDFD">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农业水价综合改革</w:t>
            </w:r>
          </w:p>
        </w:tc>
        <w:tc>
          <w:tcPr>
            <w:tcBorders>
              <w:top w:val="single" w:color="auto" w:sz="4" w:space="0"/>
              <w:left w:val="single" w:color="auto" w:sz="4" w:space="0"/>
              <w:bottom w:val="single" w:color="auto" w:sz="4" w:space="0"/>
              <w:right w:val="single" w:color="auto" w:sz="4" w:space="0"/>
            </w:tcBorders>
          </w:tcPr>
          <w:p w14:paraId="3979B7CB">
            <w:pPr>
              <w:keepNext w:val="0"/>
              <w:keepLines w:val="0"/>
              <w:widowControl/>
              <w:suppressLineNumbers w:val="0"/>
              <w:spacing w:before="0" w:beforeAutospacing="0" w:after="0" w:afterAutospacing="0" w:line="180" w:lineRule="auto"/>
              <w:ind w:left="0" w:right="0" w:firstLine="0"/>
              <w:jc w:val="center"/>
              <w:rPr>
                <w:rFonts w:hint="eastAsia" w:eastAsia="仿宋_GB2312"/>
                <w:lang w:eastAsia="zh-CN"/>
              </w:rPr>
            </w:pPr>
            <w:r>
              <w:rPr>
                <w:rFonts w:hint="default" w:ascii="仿宋_GB2312" w:hAnsi="仿宋_GB2312" w:eastAsia="仿宋_GB2312" w:cs="仿宋_GB2312"/>
                <w:sz w:val="18"/>
              </w:rPr>
              <w:t>2</w:t>
            </w:r>
            <w:r>
              <w:rPr>
                <w:rFonts w:hint="eastAsia" w:ascii="仿宋_GB2312" w:hAnsi="仿宋_GB2312" w:cs="仿宋_GB2312"/>
                <w:sz w:val="18"/>
                <w:lang w:val="en-US" w:eastAsia="zh-CN"/>
              </w:rPr>
              <w:t>4</w:t>
            </w:r>
          </w:p>
        </w:tc>
        <w:tc>
          <w:tcPr>
            <w:tcBorders>
              <w:top w:val="single" w:color="auto" w:sz="4" w:space="0"/>
              <w:left w:val="single" w:color="auto" w:sz="4" w:space="0"/>
              <w:bottom w:val="single" w:color="auto" w:sz="4" w:space="0"/>
              <w:right w:val="single" w:color="auto" w:sz="4" w:space="0"/>
            </w:tcBorders>
          </w:tcPr>
          <w:p w14:paraId="0549206C">
            <w:pPr>
              <w:keepNext w:val="0"/>
              <w:keepLines w:val="0"/>
              <w:widowControl/>
              <w:suppressLineNumbers w:val="0"/>
              <w:spacing w:before="0" w:beforeAutospacing="0" w:after="0" w:afterAutospacing="0" w:line="180" w:lineRule="auto"/>
              <w:ind w:left="0" w:right="0" w:firstLine="0"/>
              <w:jc w:val="center"/>
              <w:rPr>
                <w:rFonts w:hint="eastAsia" w:eastAsia="仿宋_GB2312"/>
                <w:lang w:eastAsia="zh-CN"/>
              </w:rPr>
            </w:pPr>
            <w:r>
              <w:rPr>
                <w:rFonts w:hint="default" w:ascii="仿宋_GB2312" w:hAnsi="仿宋_GB2312" w:eastAsia="仿宋_GB2312" w:cs="仿宋_GB2312"/>
                <w:sz w:val="18"/>
              </w:rPr>
              <w:t>2</w:t>
            </w:r>
            <w:r>
              <w:rPr>
                <w:rFonts w:hint="eastAsia" w:ascii="仿宋_GB2312" w:hAnsi="仿宋_GB2312" w:cs="仿宋_GB2312"/>
                <w:sz w:val="18"/>
                <w:lang w:val="en-US" w:eastAsia="zh-CN"/>
              </w:rPr>
              <w:t>4</w:t>
            </w:r>
          </w:p>
        </w:tc>
        <w:tc>
          <w:tcPr>
            <w:tcBorders>
              <w:top w:val="single" w:color="auto" w:sz="4" w:space="0"/>
              <w:left w:val="single" w:color="auto" w:sz="4" w:space="0"/>
              <w:bottom w:val="single" w:color="auto" w:sz="4" w:space="0"/>
              <w:right w:val="single" w:color="auto" w:sz="4" w:space="0"/>
            </w:tcBorders>
          </w:tcPr>
          <w:p w14:paraId="7F815112">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24</w:t>
            </w:r>
          </w:p>
        </w:tc>
        <w:tc>
          <w:tcPr>
            <w:tcBorders>
              <w:top w:val="single" w:color="auto" w:sz="4" w:space="0"/>
              <w:left w:val="single" w:color="auto" w:sz="4" w:space="0"/>
              <w:bottom w:val="single" w:color="auto" w:sz="4" w:space="0"/>
              <w:right w:val="single" w:color="auto" w:sz="4" w:space="0"/>
            </w:tcBorders>
          </w:tcPr>
          <w:p w14:paraId="3E0C4DE9">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126DF91A">
            <w:pPr>
              <w:keepNext w:val="0"/>
              <w:keepLines w:val="0"/>
              <w:widowControl/>
              <w:suppressLineNumbers w:val="0"/>
              <w:spacing w:before="0" w:beforeAutospacing="0" w:after="0" w:afterAutospacing="0" w:line="180" w:lineRule="auto"/>
              <w:ind w:left="0" w:right="0" w:firstLine="0"/>
              <w:jc w:val="center"/>
              <w:rPr>
                <w:rFonts w:hint="eastAsia" w:eastAsia="仿宋_GB2312"/>
                <w:lang w:eastAsia="zh-CN"/>
              </w:rPr>
            </w:pPr>
            <w:r>
              <w:rPr>
                <w:rFonts w:hint="eastAsia" w:ascii="仿宋_GB2312" w:hAnsi="仿宋_GB2312" w:cs="仿宋_GB2312"/>
                <w:sz w:val="18"/>
                <w:lang w:val="en-US" w:eastAsia="zh-CN"/>
              </w:rPr>
              <w:t>0</w:t>
            </w:r>
          </w:p>
        </w:tc>
        <w:tc>
          <w:tcPr>
            <w:tcBorders>
              <w:top w:val="single" w:color="auto" w:sz="4" w:space="0"/>
              <w:left w:val="single" w:color="auto" w:sz="4" w:space="0"/>
              <w:bottom w:val="single" w:color="auto" w:sz="4" w:space="0"/>
              <w:right w:val="single" w:color="auto" w:sz="4" w:space="0"/>
            </w:tcBorders>
          </w:tcPr>
          <w:p w14:paraId="6112234A">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24</w:t>
            </w:r>
          </w:p>
        </w:tc>
        <w:tc>
          <w:tcPr>
            <w:tcBorders>
              <w:top w:val="single" w:color="auto" w:sz="4" w:space="0"/>
              <w:left w:val="single" w:color="auto" w:sz="4" w:space="0"/>
              <w:bottom w:val="single" w:color="auto" w:sz="4" w:space="0"/>
              <w:right w:val="single" w:color="auto" w:sz="4" w:space="0"/>
            </w:tcBorders>
          </w:tcPr>
          <w:p w14:paraId="1F0F4822">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24</w:t>
            </w:r>
          </w:p>
        </w:tc>
        <w:tc>
          <w:tcPr>
            <w:tcBorders>
              <w:top w:val="single" w:color="auto" w:sz="4" w:space="0"/>
              <w:left w:val="single" w:color="auto" w:sz="4" w:space="0"/>
              <w:bottom w:val="single" w:color="auto" w:sz="4" w:space="0"/>
              <w:right w:val="single" w:color="auto" w:sz="4" w:space="0"/>
            </w:tcBorders>
          </w:tcPr>
          <w:p w14:paraId="455CB0BF">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6AB652C6">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0F28133F">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100.00%</w:t>
            </w:r>
          </w:p>
        </w:tc>
        <w:tc>
          <w:tcPr>
            <w:tcBorders>
              <w:top w:val="single" w:color="auto" w:sz="4" w:space="0"/>
              <w:left w:val="single" w:color="auto" w:sz="4" w:space="0"/>
              <w:bottom w:val="single" w:color="auto" w:sz="4" w:space="0"/>
              <w:right w:val="single" w:color="auto" w:sz="4" w:space="0"/>
            </w:tcBorders>
          </w:tcPr>
          <w:p w14:paraId="480E0208">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0.00%</w:t>
            </w:r>
          </w:p>
        </w:tc>
      </w:tr>
    </w:tbl>
    <w:p w14:paraId="12DDA8DA">
      <w:pPr>
        <w:spacing w:line="520" w:lineRule="exact"/>
        <w:ind w:left="0" w:leftChars="0" w:firstLine="0" w:firstLineChars="0"/>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注：中央和省级财政资金到位率=</w:t>
      </w:r>
      <w:r>
        <w:rPr>
          <w:rFonts w:hint="eastAsia" w:cs="Times New Roman"/>
          <w:sz w:val="21"/>
          <w:szCs w:val="21"/>
          <w:highlight w:val="none"/>
          <w:lang w:eastAsia="zh-CN"/>
        </w:rPr>
        <w:t>（</w:t>
      </w:r>
      <w:r>
        <w:rPr>
          <w:rFonts w:hint="default" w:ascii="Times New Roman" w:hAnsi="Times New Roman" w:cs="Times New Roman"/>
          <w:sz w:val="21"/>
          <w:szCs w:val="21"/>
          <w:highlight w:val="none"/>
        </w:rPr>
        <w:t>中央+省级财政到位资金</w:t>
      </w:r>
      <w:r>
        <w:rPr>
          <w:rFonts w:hint="eastAsia" w:cs="Times New Roman"/>
          <w:sz w:val="21"/>
          <w:szCs w:val="21"/>
          <w:highlight w:val="none"/>
          <w:lang w:eastAsia="zh-CN"/>
        </w:rPr>
        <w:t>）</w:t>
      </w:r>
      <w:r>
        <w:rPr>
          <w:rFonts w:hint="eastAsia" w:cs="Times New Roman"/>
          <w:sz w:val="21"/>
          <w:szCs w:val="21"/>
          <w:highlight w:val="none"/>
          <w:lang w:val="en-US" w:eastAsia="zh-CN"/>
        </w:rPr>
        <w:t>/</w:t>
      </w:r>
      <w:r>
        <w:rPr>
          <w:rFonts w:hint="default" w:ascii="Times New Roman" w:hAnsi="Times New Roman" w:cs="Times New Roman"/>
          <w:sz w:val="21"/>
          <w:szCs w:val="21"/>
          <w:highlight w:val="none"/>
        </w:rPr>
        <w:t>（中央+省级资金预算数）</w:t>
      </w:r>
    </w:p>
    <w:p w14:paraId="3B26622B">
      <w:pPr>
        <w:spacing w:line="520" w:lineRule="exact"/>
        <w:ind w:firstLine="480"/>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市县财政资金到位率=市县财政到位资金/市县财政资金预算数</w:t>
      </w:r>
    </w:p>
    <w:p w14:paraId="550E4195">
      <w:pPr>
        <w:spacing w:line="520" w:lineRule="exact"/>
        <w:ind w:firstLine="480"/>
        <w:rPr>
          <w:rFonts w:hint="default"/>
          <w:sz w:val="21"/>
          <w:szCs w:val="21"/>
          <w:highlight w:val="none"/>
        </w:rPr>
      </w:pPr>
      <w:r>
        <w:rPr>
          <w:rFonts w:hint="eastAsia" w:ascii="Times New Roman" w:hAnsi="Times New Roman" w:cs="Times New Roman"/>
          <w:sz w:val="21"/>
          <w:szCs w:val="21"/>
          <w:highlight w:val="none"/>
        </w:rPr>
        <w:t>填表说明：（</w:t>
      </w:r>
      <w:r>
        <w:rPr>
          <w:rFonts w:hint="default" w:ascii="Times New Roman" w:hAnsi="Times New Roman" w:cs="Times New Roman"/>
          <w:sz w:val="21"/>
          <w:szCs w:val="21"/>
          <w:highlight w:val="none"/>
        </w:rPr>
        <w:t>1</w:t>
      </w:r>
      <w:r>
        <w:rPr>
          <w:rFonts w:hint="eastAsia" w:ascii="Times New Roman" w:hAnsi="Times New Roman" w:cs="Times New Roman"/>
          <w:sz w:val="21"/>
          <w:szCs w:val="21"/>
          <w:highlight w:val="none"/>
        </w:rPr>
        <w:t>）</w:t>
      </w:r>
      <w:r>
        <w:rPr>
          <w:rFonts w:hint="default" w:ascii="Times New Roman" w:hAnsi="Times New Roman" w:cs="Times New Roman"/>
          <w:sz w:val="21"/>
          <w:szCs w:val="21"/>
          <w:highlight w:val="none"/>
        </w:rPr>
        <w:t>=</w:t>
      </w:r>
      <w:r>
        <w:rPr>
          <w:rFonts w:hint="eastAsia" w:ascii="Times New Roman" w:hAnsi="Times New Roman" w:cs="Times New Roman"/>
          <w:sz w:val="21"/>
          <w:szCs w:val="21"/>
          <w:highlight w:val="none"/>
        </w:rPr>
        <w:t>（</w:t>
      </w:r>
      <w:r>
        <w:rPr>
          <w:rFonts w:hint="default" w:ascii="Times New Roman" w:hAnsi="Times New Roman" w:cs="Times New Roman"/>
          <w:sz w:val="21"/>
          <w:szCs w:val="21"/>
          <w:highlight w:val="none"/>
        </w:rPr>
        <w:t>2</w:t>
      </w:r>
      <w:r>
        <w:rPr>
          <w:rFonts w:hint="eastAsia" w:ascii="Times New Roman" w:hAnsi="Times New Roman" w:cs="Times New Roman"/>
          <w:sz w:val="21"/>
          <w:szCs w:val="21"/>
          <w:highlight w:val="none"/>
        </w:rPr>
        <w:t>）</w:t>
      </w:r>
      <w:r>
        <w:rPr>
          <w:rFonts w:hint="default" w:ascii="Times New Roman" w:hAnsi="Times New Roman" w:cs="Times New Roman"/>
          <w:sz w:val="21"/>
          <w:szCs w:val="21"/>
          <w:highlight w:val="none"/>
        </w:rPr>
        <w:t>+</w:t>
      </w:r>
      <w:r>
        <w:rPr>
          <w:rFonts w:hint="eastAsia" w:ascii="Times New Roman" w:hAnsi="Times New Roman" w:cs="Times New Roman"/>
          <w:sz w:val="21"/>
          <w:szCs w:val="21"/>
          <w:highlight w:val="none"/>
        </w:rPr>
        <w:t>（</w:t>
      </w:r>
      <w:r>
        <w:rPr>
          <w:rFonts w:hint="default" w:ascii="Times New Roman" w:hAnsi="Times New Roman" w:cs="Times New Roman"/>
          <w:sz w:val="21"/>
          <w:szCs w:val="21"/>
          <w:highlight w:val="none"/>
        </w:rPr>
        <w:t>3</w:t>
      </w:r>
      <w:r>
        <w:rPr>
          <w:rFonts w:hint="eastAsia" w:ascii="Times New Roman" w:hAnsi="Times New Roman" w:cs="Times New Roman"/>
          <w:sz w:val="21"/>
          <w:szCs w:val="21"/>
          <w:highlight w:val="none"/>
        </w:rPr>
        <w:t>）</w:t>
      </w:r>
      <w:r>
        <w:rPr>
          <w:rFonts w:hint="default" w:ascii="Times New Roman" w:hAnsi="Times New Roman" w:cs="Times New Roman"/>
          <w:sz w:val="21"/>
          <w:szCs w:val="21"/>
          <w:highlight w:val="none"/>
        </w:rPr>
        <w:t>+</w:t>
      </w:r>
      <w:r>
        <w:rPr>
          <w:rFonts w:hint="eastAsia" w:ascii="Times New Roman" w:hAnsi="Times New Roman" w:cs="Times New Roman"/>
          <w:sz w:val="21"/>
          <w:szCs w:val="21"/>
          <w:highlight w:val="none"/>
          <w:lang w:eastAsia="zh-CN"/>
        </w:rPr>
        <w:t>（</w:t>
      </w:r>
      <w:r>
        <w:rPr>
          <w:rFonts w:hint="eastAsia" w:ascii="Times New Roman" w:hAnsi="Times New Roman" w:cs="Times New Roman"/>
          <w:sz w:val="21"/>
          <w:szCs w:val="21"/>
          <w:highlight w:val="none"/>
          <w:lang w:val="en-US" w:eastAsia="zh-CN"/>
        </w:rPr>
        <w:t>4</w:t>
      </w:r>
      <w:r>
        <w:rPr>
          <w:rFonts w:hint="eastAsia" w:ascii="Times New Roman" w:hAnsi="Times New Roman" w:cs="Times New Roman"/>
          <w:sz w:val="21"/>
          <w:szCs w:val="21"/>
          <w:highlight w:val="none"/>
          <w:lang w:eastAsia="zh-CN"/>
        </w:rPr>
        <w:t>）</w:t>
      </w:r>
      <w:r>
        <w:rPr>
          <w:rFonts w:hint="default" w:ascii="Times New Roman" w:hAnsi="Times New Roman" w:cs="Times New Roman"/>
          <w:sz w:val="21"/>
          <w:szCs w:val="21"/>
          <w:highlight w:val="none"/>
        </w:rPr>
        <w:t>+</w:t>
      </w:r>
      <w:r>
        <w:rPr>
          <w:rFonts w:hint="eastAsia" w:ascii="Times New Roman" w:hAnsi="Times New Roman" w:cs="Times New Roman"/>
          <w:sz w:val="21"/>
          <w:szCs w:val="21"/>
          <w:highlight w:val="none"/>
        </w:rPr>
        <w:t>其他资金；（</w:t>
      </w:r>
      <w:r>
        <w:rPr>
          <w:rFonts w:hint="eastAsia" w:ascii="Times New Roman" w:hAnsi="Times New Roman" w:cs="Times New Roman"/>
          <w:sz w:val="21"/>
          <w:szCs w:val="21"/>
          <w:highlight w:val="none"/>
          <w:lang w:val="en-US" w:eastAsia="zh-CN"/>
        </w:rPr>
        <w:t>5</w:t>
      </w:r>
      <w:r>
        <w:rPr>
          <w:rFonts w:hint="eastAsia" w:ascii="Times New Roman" w:hAnsi="Times New Roman" w:cs="Times New Roman"/>
          <w:sz w:val="21"/>
          <w:szCs w:val="21"/>
          <w:highlight w:val="none"/>
        </w:rPr>
        <w:t>）=（2）+（3）</w:t>
      </w:r>
      <w:r>
        <w:rPr>
          <w:rFonts w:hint="eastAsia" w:ascii="Times New Roman" w:hAnsi="Times New Roman" w:cs="Times New Roman"/>
          <w:sz w:val="21"/>
          <w:szCs w:val="21"/>
          <w:highlight w:val="none"/>
          <w:lang w:val="en-US" w:eastAsia="zh-CN"/>
        </w:rPr>
        <w:t>+</w:t>
      </w:r>
      <w:r>
        <w:rPr>
          <w:rFonts w:hint="eastAsia" w:ascii="Times New Roman" w:hAnsi="Times New Roman" w:cs="Times New Roman"/>
          <w:sz w:val="21"/>
          <w:szCs w:val="21"/>
          <w:highlight w:val="none"/>
          <w:lang w:eastAsia="zh-CN"/>
        </w:rPr>
        <w:t>（</w:t>
      </w:r>
      <w:r>
        <w:rPr>
          <w:rFonts w:hint="eastAsia" w:ascii="Times New Roman" w:hAnsi="Times New Roman" w:cs="Times New Roman"/>
          <w:sz w:val="21"/>
          <w:szCs w:val="21"/>
          <w:highlight w:val="none"/>
          <w:lang w:val="en-US" w:eastAsia="zh-CN"/>
        </w:rPr>
        <w:t>4</w:t>
      </w:r>
      <w:r>
        <w:rPr>
          <w:rFonts w:hint="eastAsia" w:ascii="Times New Roman" w:hAnsi="Times New Roman" w:cs="Times New Roman"/>
          <w:sz w:val="21"/>
          <w:szCs w:val="21"/>
          <w:highlight w:val="none"/>
          <w:lang w:eastAsia="zh-CN"/>
        </w:rPr>
        <w:t>）</w:t>
      </w:r>
      <w:r>
        <w:rPr>
          <w:rFonts w:hint="eastAsia" w:ascii="Times New Roman" w:hAnsi="Times New Roman" w:cs="Times New Roman"/>
          <w:sz w:val="21"/>
          <w:szCs w:val="21"/>
          <w:highlight w:val="none"/>
        </w:rPr>
        <w:t>；（</w:t>
      </w:r>
      <w:r>
        <w:rPr>
          <w:rFonts w:hint="eastAsia" w:ascii="Times New Roman" w:hAnsi="Times New Roman" w:cs="Times New Roman"/>
          <w:sz w:val="21"/>
          <w:szCs w:val="21"/>
          <w:highlight w:val="none"/>
          <w:lang w:val="en-US" w:eastAsia="zh-CN"/>
        </w:rPr>
        <w:t>6</w:t>
      </w:r>
      <w:r>
        <w:rPr>
          <w:rFonts w:hint="eastAsia" w:ascii="Times New Roman" w:hAnsi="Times New Roman" w:cs="Times New Roman"/>
          <w:sz w:val="21"/>
          <w:szCs w:val="21"/>
          <w:highlight w:val="none"/>
        </w:rPr>
        <w:t>）</w:t>
      </w:r>
      <w:r>
        <w:rPr>
          <w:rFonts w:hint="default" w:ascii="Times New Roman" w:hAnsi="Times New Roman" w:cs="Times New Roman"/>
          <w:sz w:val="21"/>
          <w:szCs w:val="21"/>
          <w:highlight w:val="none"/>
        </w:rPr>
        <w:t>=</w:t>
      </w:r>
      <w:r>
        <w:rPr>
          <w:rFonts w:hint="eastAsia" w:ascii="Times New Roman" w:hAnsi="Times New Roman" w:cs="Times New Roman"/>
          <w:sz w:val="21"/>
          <w:szCs w:val="21"/>
          <w:highlight w:val="none"/>
        </w:rPr>
        <w:t>（2）+（3）</w:t>
      </w:r>
      <w:r>
        <w:rPr>
          <w:rFonts w:hint="default" w:ascii="Times New Roman" w:hAnsi="Times New Roman" w:cs="Times New Roman"/>
          <w:sz w:val="21"/>
          <w:szCs w:val="21"/>
          <w:highlight w:val="none"/>
        </w:rPr>
        <w:t>/</w:t>
      </w:r>
      <w:r>
        <w:rPr>
          <w:rFonts w:hint="eastAsia" w:ascii="Times New Roman" w:hAnsi="Times New Roman" w:cs="Times New Roman"/>
          <w:sz w:val="21"/>
          <w:szCs w:val="21"/>
          <w:highlight w:val="none"/>
        </w:rPr>
        <w:t>（2）+（3）</w:t>
      </w:r>
      <w:r>
        <w:rPr>
          <w:rFonts w:hint="eastAsia" w:ascii="Times New Roman" w:hAnsi="Times New Roman" w:cs="Times New Roman"/>
          <w:sz w:val="21"/>
          <w:szCs w:val="21"/>
          <w:highlight w:val="none"/>
          <w:lang w:eastAsia="zh-CN"/>
        </w:rPr>
        <w:t>；</w:t>
      </w:r>
      <w:r>
        <w:rPr>
          <w:rFonts w:hint="eastAsia" w:ascii="Times New Roman" w:hAnsi="Times New Roman" w:cs="Times New Roman"/>
          <w:sz w:val="21"/>
          <w:szCs w:val="21"/>
          <w:highlight w:val="none"/>
        </w:rPr>
        <w:t>（</w:t>
      </w:r>
      <w:r>
        <w:rPr>
          <w:rFonts w:hint="eastAsia" w:ascii="Times New Roman" w:hAnsi="Times New Roman" w:cs="Times New Roman"/>
          <w:sz w:val="21"/>
          <w:szCs w:val="21"/>
          <w:highlight w:val="none"/>
          <w:lang w:val="en-US" w:eastAsia="zh-CN"/>
        </w:rPr>
        <w:t>7</w:t>
      </w:r>
      <w:r>
        <w:rPr>
          <w:rFonts w:hint="eastAsia" w:ascii="Times New Roman" w:hAnsi="Times New Roman" w:cs="Times New Roman"/>
          <w:sz w:val="21"/>
          <w:szCs w:val="21"/>
          <w:highlight w:val="none"/>
        </w:rPr>
        <w:t>）</w:t>
      </w:r>
      <w:r>
        <w:rPr>
          <w:rFonts w:hint="default" w:ascii="Times New Roman" w:hAnsi="Times New Roman" w:cs="Times New Roman"/>
          <w:sz w:val="21"/>
          <w:szCs w:val="21"/>
          <w:highlight w:val="none"/>
        </w:rPr>
        <w:t>=</w:t>
      </w:r>
      <w:r>
        <w:rPr>
          <w:rFonts w:hint="eastAsia" w:ascii="Times New Roman" w:hAnsi="Times New Roman" w:cs="Times New Roman"/>
          <w:sz w:val="21"/>
          <w:szCs w:val="21"/>
          <w:highlight w:val="none"/>
        </w:rPr>
        <w:t>（</w:t>
      </w:r>
      <w:r>
        <w:rPr>
          <w:rFonts w:hint="eastAsia" w:ascii="Times New Roman" w:hAnsi="Times New Roman" w:cs="Times New Roman"/>
          <w:sz w:val="21"/>
          <w:szCs w:val="21"/>
          <w:highlight w:val="none"/>
          <w:lang w:val="en-US" w:eastAsia="zh-CN"/>
        </w:rPr>
        <w:t>4</w:t>
      </w:r>
      <w:r>
        <w:rPr>
          <w:rFonts w:hint="eastAsia" w:ascii="Times New Roman" w:hAnsi="Times New Roman" w:cs="Times New Roman"/>
          <w:sz w:val="21"/>
          <w:szCs w:val="21"/>
          <w:highlight w:val="none"/>
        </w:rPr>
        <w:t>）</w:t>
      </w:r>
      <w:r>
        <w:rPr>
          <w:rFonts w:hint="default" w:ascii="Times New Roman" w:hAnsi="Times New Roman" w:cs="Times New Roman"/>
          <w:sz w:val="21"/>
          <w:szCs w:val="21"/>
          <w:highlight w:val="none"/>
        </w:rPr>
        <w:t>/</w:t>
      </w:r>
      <w:r>
        <w:rPr>
          <w:rFonts w:hint="eastAsia" w:ascii="Times New Roman" w:hAnsi="Times New Roman" w:cs="Times New Roman"/>
          <w:sz w:val="21"/>
          <w:szCs w:val="21"/>
          <w:highlight w:val="none"/>
        </w:rPr>
        <w:t>（</w:t>
      </w:r>
      <w:r>
        <w:rPr>
          <w:rFonts w:hint="eastAsia" w:ascii="Times New Roman" w:hAnsi="Times New Roman" w:cs="Times New Roman"/>
          <w:sz w:val="21"/>
          <w:szCs w:val="21"/>
          <w:highlight w:val="none"/>
          <w:lang w:val="en-US" w:eastAsia="zh-CN"/>
        </w:rPr>
        <w:t>4</w:t>
      </w:r>
      <w:r>
        <w:rPr>
          <w:rFonts w:hint="eastAsia" w:ascii="Times New Roman" w:hAnsi="Times New Roman" w:cs="Times New Roman"/>
          <w:sz w:val="21"/>
          <w:szCs w:val="21"/>
          <w:highlight w:val="none"/>
        </w:rPr>
        <w:t>）</w:t>
      </w:r>
      <w:r>
        <w:rPr>
          <w:rFonts w:hint="eastAsia" w:ascii="Times New Roman" w:hAnsi="Times New Roman" w:cs="Times New Roman"/>
          <w:sz w:val="21"/>
          <w:szCs w:val="21"/>
          <w:highlight w:val="none"/>
          <w:lang w:eastAsia="zh-CN"/>
        </w:rPr>
        <w:t>。</w:t>
      </w:r>
    </w:p>
    <w:p w14:paraId="154821D7">
      <w:pPr>
        <w:keepNext w:val="0"/>
        <w:keepLines w:val="0"/>
        <w:pageBreakBefore w:val="0"/>
        <w:widowControl/>
        <w:kinsoku/>
        <w:wordWrap/>
        <w:overflowPunct/>
        <w:topLinePunct w:val="0"/>
        <w:autoSpaceDE/>
        <w:autoSpaceDN/>
        <w:bidi w:val="0"/>
        <w:adjustRightInd/>
        <w:snapToGrid/>
        <w:spacing w:line="572" w:lineRule="exact"/>
        <w:ind w:firstLine="640"/>
        <w:textAlignment w:val="auto"/>
        <w:rPr>
          <w:rFonts w:hint="default" w:ascii="Times New Roman" w:hAnsi="Times New Roman" w:cs="Times New Roman"/>
          <w:sz w:val="32"/>
          <w:szCs w:val="32"/>
          <w:highlight w:val="none"/>
        </w:rPr>
        <w:sectPr>
          <w:pgSz w:w="16838" w:h="11906" w:orient="landscape"/>
          <w:pgMar w:top="1800" w:right="1440" w:bottom="1800" w:left="1440" w:header="851" w:footer="850" w:gutter="0"/>
          <w:cols w:space="425" w:num="1"/>
          <w:docGrid w:type="lines" w:linePitch="381" w:charSpace="0"/>
        </w:sectPr>
      </w:pPr>
    </w:p>
    <w:p w14:paraId="4E28241A">
      <w:pPr>
        <w:keepNext w:val="0"/>
        <w:keepLines w:val="0"/>
        <w:pageBreakBefore w:val="0"/>
        <w:widowControl w:val="0"/>
        <w:kinsoku/>
        <w:wordWrap/>
        <w:overflowPunct/>
        <w:topLinePunct w:val="0"/>
        <w:autoSpaceDE/>
        <w:autoSpaceDN/>
        <w:bidi w:val="0"/>
        <w:adjustRightInd/>
        <w:snapToGrid/>
        <w:spacing w:line="360" w:lineRule="auto"/>
        <w:ind w:firstLine="640"/>
        <w:textAlignment w:val="auto"/>
        <w:outlineLvl w:val="2"/>
        <w:rPr>
          <w:rFonts w:hint="default" w:ascii="Times New Roman" w:hAnsi="Times New Roman" w:cs="Times New Roman"/>
          <w:color w:val="0070C0"/>
          <w:sz w:val="32"/>
          <w:highlight w:val="none"/>
        </w:rPr>
      </w:pPr>
      <w:r>
        <w:rPr>
          <w:rFonts w:hint="default" w:ascii="Times New Roman" w:hAnsi="Times New Roman" w:cs="Times New Roman"/>
          <w:b/>
          <w:bCs/>
          <w:sz w:val="32"/>
          <w:szCs w:val="32"/>
          <w:highlight w:val="none"/>
        </w:rPr>
        <w:t>2.资金执行情况</w:t>
      </w:r>
    </w:p>
    <w:p w14:paraId="6899FFF4">
      <w:pPr>
        <w:ind w:firstLine="640"/>
        <w:rPr>
          <w:rFonts w:ascii="Times New Roman" w:hAnsi="Times New Roman" w:eastAsia="仿宋_GB2312"/>
          <w:sz w:val="32"/>
          <w:szCs w:val="32"/>
          <w:highlight w:val="none"/>
        </w:rPr>
      </w:pPr>
      <w:r>
        <w:rPr>
          <w:rFonts w:ascii="Times New Roman" w:hAnsi="Times New Roman" w:eastAsia="仿宋_GB2312"/>
          <w:sz w:val="32"/>
          <w:szCs w:val="32"/>
          <w:highlight w:val="none"/>
        </w:rPr>
        <w:t>20</w:t>
      </w:r>
      <w:r>
        <w:rPr>
          <w:rFonts w:hint="eastAsia" w:ascii="Times New Roman" w:hAnsi="Times New Roman"/>
          <w:sz w:val="32"/>
          <w:szCs w:val="32"/>
          <w:highlight w:val="none"/>
          <w:lang w:val="en-US" w:eastAsia="zh-CN"/>
        </w:rPr>
        <w:t>2</w:t>
      </w:r>
      <w:r>
        <w:rPr>
          <w:rFonts w:hint="eastAsia"/>
          <w:sz w:val="32"/>
          <w:szCs w:val="32"/>
          <w:highlight w:val="none"/>
          <w:lang w:val="en-US" w:eastAsia="zh-CN"/>
        </w:rPr>
        <w:t>4</w:t>
      </w:r>
      <w:r>
        <w:rPr>
          <w:rFonts w:ascii="Times New Roman" w:hAnsi="Times New Roman" w:eastAsia="仿宋_GB2312"/>
          <w:sz w:val="32"/>
          <w:szCs w:val="32"/>
          <w:highlight w:val="none"/>
        </w:rPr>
        <w:t>年度中央水利发展资金批复预算投资</w:t>
      </w:r>
      <w:r>
        <w:rPr>
          <w:rFonts w:hint="eastAsia"/>
          <w:sz w:val="32"/>
          <w:szCs w:val="32"/>
          <w:highlight w:val="none"/>
          <w:lang w:val="en-US" w:eastAsia="zh-CN"/>
        </w:rPr>
        <w:t>95</w:t>
      </w:r>
      <w:r>
        <w:rPr>
          <w:rFonts w:ascii="Times New Roman" w:hAnsi="Times New Roman" w:eastAsia="仿宋_GB2312"/>
          <w:sz w:val="32"/>
          <w:szCs w:val="32"/>
          <w:highlight w:val="none"/>
        </w:rPr>
        <w:t>万元</w:t>
      </w:r>
      <w:r>
        <w:rPr>
          <w:rFonts w:hint="eastAsia" w:ascii="Times New Roman" w:hAnsi="Times New Roman" w:eastAsia="仿宋_GB2312"/>
          <w:sz w:val="32"/>
          <w:szCs w:val="32"/>
          <w:highlight w:val="none"/>
          <w:lang w:eastAsia="zh-CN"/>
        </w:rPr>
        <w:t>。</w:t>
      </w:r>
    </w:p>
    <w:p w14:paraId="5153FBD2">
      <w:pPr>
        <w:ind w:firstLine="640"/>
        <w:rPr>
          <w:rFonts w:hint="eastAsia" w:eastAsia="仿宋" w:cs="Times New Roman"/>
          <w:sz w:val="32"/>
          <w:szCs w:val="32"/>
          <w:highlight w:val="none"/>
        </w:rPr>
      </w:pPr>
      <w:r>
        <w:rPr>
          <w:rFonts w:hint="eastAsia" w:eastAsia="仿宋" w:cs="Times New Roman"/>
          <w:sz w:val="32"/>
          <w:szCs w:val="32"/>
          <w:highlight w:val="none"/>
        </w:rPr>
        <w:t>截至</w:t>
      </w:r>
      <w:r>
        <w:rPr>
          <w:rFonts w:eastAsia="仿宋" w:cs="Times New Roman"/>
          <w:sz w:val="32"/>
          <w:szCs w:val="32"/>
          <w:highlight w:val="none"/>
        </w:rPr>
        <w:t>202</w:t>
      </w:r>
      <w:r>
        <w:rPr>
          <w:rFonts w:hint="eastAsia" w:eastAsia="仿宋" w:cs="Times New Roman"/>
          <w:sz w:val="32"/>
          <w:szCs w:val="32"/>
          <w:highlight w:val="none"/>
          <w:lang w:val="en-US" w:eastAsia="zh-CN"/>
        </w:rPr>
        <w:t>4</w:t>
      </w:r>
      <w:r>
        <w:rPr>
          <w:rFonts w:eastAsia="仿宋" w:cs="Times New Roman"/>
          <w:sz w:val="32"/>
          <w:szCs w:val="32"/>
          <w:highlight w:val="none"/>
        </w:rPr>
        <w:t>年12月底，</w:t>
      </w:r>
      <w:r>
        <w:rPr>
          <w:rFonts w:hint="eastAsia" w:cs="Times New Roman"/>
          <w:sz w:val="32"/>
          <w:highlight w:val="none"/>
        </w:rPr>
        <w:t>共完成投资</w:t>
      </w:r>
      <w:r>
        <w:rPr>
          <w:rFonts w:hint="eastAsia" w:eastAsia="仿宋" w:cs="Times New Roman"/>
          <w:sz w:val="32"/>
          <w:szCs w:val="32"/>
          <w:highlight w:val="none"/>
          <w:lang w:val="en-US" w:eastAsia="zh-CN"/>
        </w:rPr>
        <w:t>83.4426</w:t>
      </w:r>
      <w:r>
        <w:rPr>
          <w:rFonts w:eastAsia="仿宋" w:cs="Times New Roman"/>
          <w:sz w:val="32"/>
          <w:szCs w:val="32"/>
          <w:highlight w:val="none"/>
        </w:rPr>
        <w:t>万元</w:t>
      </w:r>
      <w:r>
        <w:rPr>
          <w:rFonts w:hint="eastAsia" w:eastAsia="仿宋" w:cs="Times New Roman"/>
          <w:sz w:val="32"/>
          <w:szCs w:val="32"/>
          <w:highlight w:val="none"/>
        </w:rPr>
        <w:t>（</w:t>
      </w:r>
      <w:r>
        <w:rPr>
          <w:rFonts w:eastAsia="仿宋" w:cs="Times New Roman"/>
          <w:sz w:val="32"/>
          <w:szCs w:val="32"/>
          <w:highlight w:val="none"/>
        </w:rPr>
        <w:t>中央财政资金</w:t>
      </w:r>
      <w:r>
        <w:rPr>
          <w:rFonts w:hint="eastAsia" w:eastAsia="仿宋" w:cs="Times New Roman"/>
          <w:sz w:val="32"/>
          <w:szCs w:val="32"/>
          <w:highlight w:val="none"/>
        </w:rPr>
        <w:t>87</w:t>
      </w:r>
      <w:r>
        <w:rPr>
          <w:rFonts w:eastAsia="仿宋" w:cs="Times New Roman"/>
          <w:sz w:val="32"/>
          <w:szCs w:val="32"/>
          <w:highlight w:val="none"/>
        </w:rPr>
        <w:t>万元</w:t>
      </w:r>
      <w:r>
        <w:rPr>
          <w:rFonts w:hint="eastAsia" w:eastAsia="仿宋" w:cs="Times New Roman"/>
          <w:sz w:val="32"/>
          <w:szCs w:val="32"/>
          <w:highlight w:val="none"/>
          <w:lang w:eastAsia="zh-CN"/>
        </w:rPr>
        <w:t>、</w:t>
      </w:r>
      <w:r>
        <w:rPr>
          <w:rFonts w:hint="eastAsia" w:eastAsia="仿宋" w:cs="Times New Roman"/>
          <w:sz w:val="32"/>
          <w:szCs w:val="32"/>
          <w:highlight w:val="none"/>
          <w:lang w:val="en-US" w:eastAsia="zh-CN"/>
        </w:rPr>
        <w:t>省级财政资金0</w:t>
      </w:r>
      <w:r>
        <w:rPr>
          <w:rFonts w:eastAsia="仿宋" w:cs="Times New Roman"/>
          <w:sz w:val="32"/>
          <w:szCs w:val="32"/>
          <w:highlight w:val="none"/>
        </w:rPr>
        <w:t>万元</w:t>
      </w:r>
      <w:r>
        <w:rPr>
          <w:rFonts w:hint="eastAsia" w:eastAsia="仿宋" w:cs="Times New Roman"/>
          <w:sz w:val="32"/>
          <w:szCs w:val="32"/>
          <w:highlight w:val="none"/>
          <w:lang w:eastAsia="zh-CN"/>
        </w:rPr>
        <w:t>、</w:t>
      </w:r>
      <w:r>
        <w:rPr>
          <w:rFonts w:hint="eastAsia" w:eastAsia="仿宋" w:cs="Times New Roman"/>
          <w:sz w:val="32"/>
          <w:szCs w:val="32"/>
          <w:highlight w:val="none"/>
          <w:lang w:val="en-US" w:eastAsia="zh-CN"/>
        </w:rPr>
        <w:t>市县财政资金0</w:t>
      </w:r>
      <w:r>
        <w:rPr>
          <w:rFonts w:eastAsia="仿宋" w:cs="Times New Roman"/>
          <w:sz w:val="32"/>
          <w:szCs w:val="32"/>
          <w:highlight w:val="none"/>
        </w:rPr>
        <w:t>万元</w:t>
      </w:r>
      <w:r>
        <w:rPr>
          <w:rFonts w:hint="eastAsia" w:eastAsia="仿宋" w:cs="Times New Roman"/>
          <w:sz w:val="32"/>
          <w:szCs w:val="32"/>
          <w:highlight w:val="none"/>
          <w:lang w:eastAsia="zh-CN"/>
        </w:rPr>
        <w:t>、</w:t>
      </w:r>
      <w:r>
        <w:rPr>
          <w:rFonts w:hint="eastAsia" w:eastAsia="仿宋" w:cs="Times New Roman"/>
          <w:sz w:val="32"/>
          <w:szCs w:val="32"/>
          <w:highlight w:val="none"/>
          <w:lang w:val="en-US" w:eastAsia="zh-CN"/>
        </w:rPr>
        <w:t>其他资金0</w:t>
      </w:r>
      <w:r>
        <w:rPr>
          <w:rFonts w:eastAsia="仿宋" w:cs="Times New Roman"/>
          <w:sz w:val="32"/>
          <w:szCs w:val="32"/>
          <w:highlight w:val="none"/>
        </w:rPr>
        <w:t>万元</w:t>
      </w:r>
      <w:r>
        <w:rPr>
          <w:rFonts w:hint="eastAsia" w:eastAsia="仿宋" w:cs="Times New Roman"/>
          <w:sz w:val="32"/>
          <w:szCs w:val="32"/>
          <w:highlight w:val="none"/>
          <w:lang w:eastAsia="zh-CN"/>
        </w:rPr>
        <w:t>）</w:t>
      </w:r>
      <w:r>
        <w:rPr>
          <w:rFonts w:hint="eastAsia" w:eastAsia="仿宋" w:cs="Times New Roman"/>
          <w:sz w:val="32"/>
          <w:szCs w:val="32"/>
          <w:highlight w:val="none"/>
        </w:rPr>
        <w:t>，投资完成率</w:t>
      </w:r>
      <w:r>
        <w:rPr>
          <w:rFonts w:hint="eastAsia" w:eastAsia="仿宋" w:cs="Times New Roman"/>
          <w:sz w:val="32"/>
          <w:szCs w:val="32"/>
          <w:highlight w:val="none"/>
          <w:lang w:val="en-US" w:eastAsia="zh-CN"/>
        </w:rPr>
        <w:t>87.83</w:t>
      </w:r>
      <w:r>
        <w:rPr>
          <w:rFonts w:hint="eastAsia" w:eastAsia="仿宋" w:cs="Times New Roman"/>
          <w:sz w:val="32"/>
          <w:szCs w:val="32"/>
          <w:highlight w:val="none"/>
        </w:rPr>
        <w:t>%。</w:t>
      </w:r>
    </w:p>
    <w:p w14:paraId="4E42778D">
      <w:pPr>
        <w:ind w:firstLine="640"/>
        <w:rPr>
          <w:rFonts w:hint="eastAsia" w:cs="Times New Roman"/>
          <w:sz w:val="32"/>
          <w:highlight w:val="none"/>
        </w:rPr>
      </w:pPr>
      <w:r>
        <w:rPr>
          <w:rFonts w:hint="eastAsia" w:cs="Times New Roman"/>
          <w:sz w:val="32"/>
          <w:highlight w:val="none"/>
        </w:rPr>
        <w:t>截至202</w:t>
      </w:r>
      <w:r>
        <w:rPr>
          <w:rFonts w:hint="eastAsia" w:cs="Times New Roman"/>
          <w:sz w:val="32"/>
          <w:highlight w:val="none"/>
          <w:lang w:val="en-US" w:eastAsia="zh-CN"/>
        </w:rPr>
        <w:t>5</w:t>
      </w:r>
      <w:r>
        <w:rPr>
          <w:rFonts w:hint="eastAsia" w:cs="Times New Roman"/>
          <w:sz w:val="32"/>
          <w:highlight w:val="none"/>
        </w:rPr>
        <w:t>年6月底，共完成投资95万元（中央财政资金95万元</w:t>
      </w:r>
      <w:r>
        <w:rPr>
          <w:rFonts w:hint="eastAsia" w:cs="Times New Roman"/>
          <w:sz w:val="32"/>
          <w:highlight w:val="none"/>
          <w:lang w:eastAsia="zh-CN"/>
        </w:rPr>
        <w:t>、</w:t>
      </w:r>
      <w:r>
        <w:rPr>
          <w:rFonts w:hint="eastAsia" w:cs="Times New Roman"/>
          <w:sz w:val="32"/>
          <w:highlight w:val="none"/>
          <w:lang w:val="en-US" w:eastAsia="zh-CN"/>
        </w:rPr>
        <w:t>省级财政资金0</w:t>
      </w:r>
      <w:r>
        <w:rPr>
          <w:rFonts w:hint="eastAsia" w:cs="Times New Roman"/>
          <w:sz w:val="32"/>
          <w:highlight w:val="none"/>
        </w:rPr>
        <w:t>万元</w:t>
      </w:r>
      <w:r>
        <w:rPr>
          <w:rFonts w:hint="eastAsia" w:cs="Times New Roman"/>
          <w:sz w:val="32"/>
          <w:highlight w:val="none"/>
          <w:lang w:eastAsia="zh-CN"/>
        </w:rPr>
        <w:t>、</w:t>
      </w:r>
      <w:r>
        <w:rPr>
          <w:rFonts w:hint="eastAsia" w:cs="Times New Roman"/>
          <w:sz w:val="32"/>
          <w:highlight w:val="none"/>
          <w:lang w:val="en-US" w:eastAsia="zh-CN"/>
        </w:rPr>
        <w:t>市县财政资金0</w:t>
      </w:r>
      <w:r>
        <w:rPr>
          <w:rFonts w:hint="eastAsia" w:cs="Times New Roman"/>
          <w:sz w:val="32"/>
          <w:highlight w:val="none"/>
        </w:rPr>
        <w:t>万元</w:t>
      </w:r>
      <w:r>
        <w:rPr>
          <w:rFonts w:hint="eastAsia" w:cs="Times New Roman"/>
          <w:sz w:val="32"/>
          <w:highlight w:val="none"/>
          <w:lang w:eastAsia="zh-CN"/>
        </w:rPr>
        <w:t>、</w:t>
      </w:r>
      <w:r>
        <w:rPr>
          <w:rFonts w:hint="eastAsia" w:cs="Times New Roman"/>
          <w:sz w:val="32"/>
          <w:highlight w:val="none"/>
          <w:lang w:val="en-US" w:eastAsia="zh-CN"/>
        </w:rPr>
        <w:t>其他资金0</w:t>
      </w:r>
      <w:r>
        <w:rPr>
          <w:rFonts w:hint="eastAsia" w:cs="Times New Roman"/>
          <w:sz w:val="32"/>
          <w:highlight w:val="none"/>
        </w:rPr>
        <w:t>万元</w:t>
      </w:r>
      <w:r>
        <w:rPr>
          <w:rFonts w:hint="eastAsia" w:cs="Times New Roman"/>
          <w:sz w:val="32"/>
          <w:highlight w:val="none"/>
          <w:lang w:eastAsia="zh-CN"/>
        </w:rPr>
        <w:t>）</w:t>
      </w:r>
      <w:r>
        <w:rPr>
          <w:rFonts w:hint="eastAsia" w:cs="Times New Roman"/>
          <w:sz w:val="32"/>
          <w:highlight w:val="none"/>
        </w:rPr>
        <w:t>，投资完成率</w:t>
      </w:r>
      <w:r>
        <w:rPr>
          <w:rFonts w:hint="eastAsia" w:cs="Times New Roman"/>
          <w:sz w:val="32"/>
          <w:highlight w:val="none"/>
          <w:lang w:val="en-US" w:eastAsia="zh-CN"/>
        </w:rPr>
        <w:t>100</w:t>
      </w:r>
      <w:r>
        <w:rPr>
          <w:rFonts w:hint="eastAsia" w:cs="Times New Roman"/>
          <w:sz w:val="32"/>
          <w:highlight w:val="none"/>
        </w:rPr>
        <w:t>%。</w:t>
      </w:r>
    </w:p>
    <w:p w14:paraId="2DA7BA4A">
      <w:pPr>
        <w:ind w:firstLine="640"/>
        <w:rPr>
          <w:rFonts w:hint="eastAsia" w:cs="Times New Roman"/>
          <w:sz w:val="32"/>
          <w:highlight w:val="none"/>
        </w:rPr>
        <w:sectPr>
          <w:pgSz w:w="11906" w:h="16838"/>
          <w:pgMar w:top="1440" w:right="1800" w:bottom="1440" w:left="1800" w:header="851" w:footer="850" w:gutter="0"/>
          <w:cols w:space="425" w:num="1"/>
          <w:docGrid w:type="lines" w:linePitch="381" w:charSpace="0"/>
        </w:sectPr>
      </w:pPr>
    </w:p>
    <w:p w14:paraId="43CAF407">
      <w:pPr>
        <w:keepNext w:val="0"/>
        <w:keepLines w:val="0"/>
        <w:pageBreakBefore w:val="0"/>
        <w:widowControl/>
        <w:kinsoku/>
        <w:wordWrap/>
        <w:overflowPunct/>
        <w:topLinePunct w:val="0"/>
        <w:autoSpaceDE/>
        <w:autoSpaceDN/>
        <w:bidi w:val="0"/>
        <w:adjustRightInd/>
        <w:snapToGrid/>
        <w:spacing w:line="572" w:lineRule="exact"/>
        <w:ind w:firstLine="0" w:firstLineChars="0"/>
        <w:jc w:val="center"/>
        <w:textAlignment w:val="auto"/>
        <w:rPr>
          <w:rFonts w:hint="default" w:ascii="Times New Roman" w:hAnsi="Times New Roman" w:cs="Times New Roman"/>
          <w:highlight w:val="none"/>
        </w:rPr>
      </w:pPr>
      <w:r>
        <w:rPr>
          <w:rFonts w:hint="default" w:ascii="Times New Roman" w:hAnsi="Times New Roman" w:cs="Times New Roman"/>
          <w:highlight w:val="none"/>
        </w:rPr>
        <w:t>表</w:t>
      </w:r>
      <w:r>
        <w:rPr>
          <w:rFonts w:hint="eastAsia" w:cs="Times New Roman"/>
          <w:highlight w:val="none"/>
          <w:lang w:val="en-US" w:eastAsia="zh-CN"/>
        </w:rPr>
        <w:t>3</w:t>
      </w:r>
      <w:r>
        <w:rPr>
          <w:rFonts w:hint="default" w:ascii="Times New Roman" w:hAnsi="Times New Roman" w:cs="Times New Roman"/>
          <w:highlight w:val="none"/>
        </w:rPr>
        <w:t xml:space="preserve">  202</w:t>
      </w:r>
      <w:r>
        <w:rPr>
          <w:rFonts w:hint="eastAsia" w:cs="Times New Roman"/>
          <w:highlight w:val="none"/>
          <w:lang w:val="en-US" w:eastAsia="zh-CN"/>
        </w:rPr>
        <w:t>4</w:t>
      </w:r>
      <w:r>
        <w:rPr>
          <w:rFonts w:hint="default" w:ascii="Times New Roman" w:hAnsi="Times New Roman" w:cs="Times New Roman"/>
          <w:highlight w:val="none"/>
        </w:rPr>
        <w:t>年度水利发展资金执行情况表</w:t>
      </w:r>
    </w:p>
    <w:tbl>
      <w:tblPr>
        <w:tblStyle w:val="13"/>
        <w:tblW w:w="50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28" w:type="dxa"/>
        </w:tblCellMar>
      </w:tblPr>
      <w:tblGrid>
        <w:gridCol w:w="1387"/>
        <w:gridCol w:w="773"/>
        <w:gridCol w:w="683"/>
        <w:gridCol w:w="683"/>
        <w:gridCol w:w="731"/>
        <w:gridCol w:w="1223"/>
        <w:gridCol w:w="911"/>
        <w:gridCol w:w="843"/>
        <w:gridCol w:w="903"/>
        <w:gridCol w:w="844"/>
        <w:gridCol w:w="898"/>
        <w:gridCol w:w="768"/>
        <w:gridCol w:w="1002"/>
        <w:gridCol w:w="1223"/>
        <w:gridCol w:w="1223"/>
      </w:tblGrid>
      <w:tr w14:paraId="3CCF1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348" w:hRule="atLeast"/>
          <w:jc w:val="center"/>
        </w:trPr>
        <w:tc>
          <w:tcPr>
            <w:tcW w:w="520" w:type="pct"/>
            <w:vMerge w:val="restart"/>
            <w:vAlign w:val="center"/>
          </w:tcPr>
          <w:p w14:paraId="7C3D0D61">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分类</w:t>
            </w:r>
          </w:p>
        </w:tc>
        <w:tc>
          <w:tcPr>
            <w:tcW w:w="1045" w:type="pct"/>
            <w:gridSpan w:val="4"/>
            <w:vAlign w:val="center"/>
          </w:tcPr>
          <w:p w14:paraId="447B6B65">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批复投资（万元）</w:t>
            </w:r>
          </w:p>
        </w:tc>
        <w:tc>
          <w:tcPr>
            <w:tcW w:w="2708" w:type="pct"/>
            <w:gridSpan w:val="8"/>
            <w:vAlign w:val="center"/>
          </w:tcPr>
          <w:p w14:paraId="66CA8753">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完成投资（万元）</w:t>
            </w:r>
          </w:p>
        </w:tc>
        <w:tc>
          <w:tcPr>
            <w:tcW w:w="725" w:type="pct"/>
            <w:gridSpan w:val="2"/>
            <w:vMerge w:val="restart"/>
            <w:vAlign w:val="center"/>
          </w:tcPr>
          <w:p w14:paraId="7F49F8EC">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投资完成率（%）</w:t>
            </w:r>
          </w:p>
        </w:tc>
      </w:tr>
      <w:tr w14:paraId="5F000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245" w:hRule="atLeast"/>
          <w:jc w:val="center"/>
        </w:trPr>
        <w:tc>
          <w:tcPr>
            <w:tcW w:w="520" w:type="pct"/>
            <w:vMerge w:val="continue"/>
            <w:vAlign w:val="center"/>
          </w:tcPr>
          <w:p w14:paraId="59769355">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p>
        </w:tc>
        <w:tc>
          <w:tcPr>
            <w:tcW w:w="255" w:type="pct"/>
            <w:vMerge w:val="restart"/>
            <w:vAlign w:val="center"/>
          </w:tcPr>
          <w:p w14:paraId="435F488D">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中央</w:t>
            </w:r>
          </w:p>
        </w:tc>
        <w:tc>
          <w:tcPr>
            <w:tcW w:w="268" w:type="pct"/>
            <w:vMerge w:val="restart"/>
            <w:vAlign w:val="center"/>
          </w:tcPr>
          <w:p w14:paraId="0B3038AF">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省级</w:t>
            </w:r>
          </w:p>
        </w:tc>
        <w:tc>
          <w:tcPr>
            <w:tcW w:w="233" w:type="pct"/>
            <w:vMerge w:val="restart"/>
            <w:vAlign w:val="center"/>
          </w:tcPr>
          <w:p w14:paraId="53AE5540">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市县</w:t>
            </w:r>
          </w:p>
        </w:tc>
        <w:tc>
          <w:tcPr>
            <w:tcW w:w="288" w:type="pct"/>
            <w:vMerge w:val="restart"/>
            <w:vAlign w:val="center"/>
          </w:tcPr>
          <w:p w14:paraId="431B2A66">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其他</w:t>
            </w:r>
          </w:p>
        </w:tc>
        <w:tc>
          <w:tcPr>
            <w:tcW w:w="678" w:type="pct"/>
            <w:gridSpan w:val="2"/>
            <w:vAlign w:val="center"/>
          </w:tcPr>
          <w:p w14:paraId="1F5149AC">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中央</w:t>
            </w:r>
          </w:p>
        </w:tc>
        <w:tc>
          <w:tcPr>
            <w:tcW w:w="675" w:type="pct"/>
            <w:gridSpan w:val="2"/>
            <w:vAlign w:val="center"/>
          </w:tcPr>
          <w:p w14:paraId="0BE56F86">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省级</w:t>
            </w:r>
          </w:p>
        </w:tc>
        <w:tc>
          <w:tcPr>
            <w:tcW w:w="673" w:type="pct"/>
            <w:gridSpan w:val="2"/>
            <w:vAlign w:val="center"/>
          </w:tcPr>
          <w:p w14:paraId="5C8BE133">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市县</w:t>
            </w:r>
          </w:p>
        </w:tc>
        <w:tc>
          <w:tcPr>
            <w:tcW w:w="680" w:type="pct"/>
            <w:gridSpan w:val="2"/>
            <w:vAlign w:val="center"/>
          </w:tcPr>
          <w:p w14:paraId="36419120">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其他</w:t>
            </w:r>
          </w:p>
        </w:tc>
        <w:tc>
          <w:tcPr>
            <w:tcW w:w="725" w:type="pct"/>
            <w:gridSpan w:val="2"/>
            <w:vMerge w:val="continue"/>
            <w:vAlign w:val="center"/>
          </w:tcPr>
          <w:p w14:paraId="169FADCC">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p>
        </w:tc>
      </w:tr>
      <w:tr w14:paraId="45E5F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329" w:hRule="atLeast"/>
          <w:jc w:val="center"/>
        </w:trPr>
        <w:tc>
          <w:tcPr>
            <w:tcW w:w="520" w:type="pct"/>
            <w:vMerge w:val="continue"/>
            <w:vAlign w:val="center"/>
          </w:tcPr>
          <w:p w14:paraId="56382D9D">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p>
        </w:tc>
        <w:tc>
          <w:tcPr>
            <w:tcW w:w="255" w:type="pct"/>
            <w:vMerge w:val="continue"/>
            <w:vAlign w:val="center"/>
          </w:tcPr>
          <w:p w14:paraId="47EFFCE5">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eastAsia="宋体" w:cs="Times New Roman"/>
                <w:color w:val="auto"/>
                <w:kern w:val="0"/>
                <w:sz w:val="18"/>
                <w:szCs w:val="18"/>
                <w:highlight w:val="none"/>
              </w:rPr>
            </w:pPr>
          </w:p>
        </w:tc>
        <w:tc>
          <w:tcPr>
            <w:tcW w:w="268" w:type="pct"/>
            <w:vMerge w:val="continue"/>
            <w:vAlign w:val="center"/>
          </w:tcPr>
          <w:p w14:paraId="207CAAD3">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eastAsia="宋体" w:cs="Times New Roman"/>
                <w:color w:val="auto"/>
                <w:kern w:val="0"/>
                <w:sz w:val="18"/>
                <w:szCs w:val="18"/>
                <w:highlight w:val="none"/>
              </w:rPr>
            </w:pPr>
          </w:p>
        </w:tc>
        <w:tc>
          <w:tcPr>
            <w:tcW w:w="233" w:type="pct"/>
            <w:vMerge w:val="continue"/>
            <w:vAlign w:val="center"/>
          </w:tcPr>
          <w:p w14:paraId="2E246A10">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eastAsia="宋体" w:cs="Times New Roman"/>
                <w:color w:val="auto"/>
                <w:kern w:val="0"/>
                <w:sz w:val="18"/>
                <w:szCs w:val="18"/>
                <w:highlight w:val="none"/>
              </w:rPr>
            </w:pPr>
          </w:p>
        </w:tc>
        <w:tc>
          <w:tcPr>
            <w:tcW w:w="288" w:type="pct"/>
            <w:vMerge w:val="continue"/>
            <w:vAlign w:val="center"/>
          </w:tcPr>
          <w:p w14:paraId="362141E5">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eastAsia="宋体" w:cs="Times New Roman"/>
                <w:color w:val="auto"/>
                <w:kern w:val="0"/>
                <w:sz w:val="18"/>
                <w:szCs w:val="18"/>
                <w:highlight w:val="none"/>
              </w:rPr>
            </w:pPr>
          </w:p>
        </w:tc>
        <w:tc>
          <w:tcPr>
            <w:tcW w:w="327" w:type="pct"/>
            <w:vAlign w:val="center"/>
          </w:tcPr>
          <w:p w14:paraId="6CC5E1FC">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截至</w:t>
            </w:r>
          </w:p>
          <w:p w14:paraId="63CF1525">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当年底</w:t>
            </w:r>
          </w:p>
        </w:tc>
        <w:tc>
          <w:tcPr>
            <w:tcW w:w="350" w:type="pct"/>
            <w:vAlign w:val="center"/>
          </w:tcPr>
          <w:p w14:paraId="26311448">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截至第二年</w:t>
            </w:r>
          </w:p>
          <w:p w14:paraId="0D9D81D3">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6月底</w:t>
            </w:r>
          </w:p>
        </w:tc>
        <w:tc>
          <w:tcPr>
            <w:tcW w:w="327" w:type="pct"/>
            <w:vAlign w:val="center"/>
          </w:tcPr>
          <w:p w14:paraId="02077839">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截至</w:t>
            </w:r>
          </w:p>
          <w:p w14:paraId="598D3F8E">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当年底</w:t>
            </w:r>
          </w:p>
        </w:tc>
        <w:tc>
          <w:tcPr>
            <w:tcW w:w="348" w:type="pct"/>
            <w:vAlign w:val="center"/>
          </w:tcPr>
          <w:p w14:paraId="66E8234D">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截至第二年</w:t>
            </w:r>
          </w:p>
          <w:p w14:paraId="1C999DFB">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6月底</w:t>
            </w:r>
          </w:p>
        </w:tc>
        <w:tc>
          <w:tcPr>
            <w:tcW w:w="327" w:type="pct"/>
            <w:vAlign w:val="center"/>
          </w:tcPr>
          <w:p w14:paraId="1724AA4E">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截至</w:t>
            </w:r>
          </w:p>
          <w:p w14:paraId="3C472232">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当年底</w:t>
            </w:r>
          </w:p>
        </w:tc>
        <w:tc>
          <w:tcPr>
            <w:tcW w:w="345" w:type="pct"/>
            <w:vAlign w:val="center"/>
          </w:tcPr>
          <w:p w14:paraId="03444F7B">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截至第二年</w:t>
            </w:r>
          </w:p>
          <w:p w14:paraId="475ACD8F">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6月底</w:t>
            </w:r>
          </w:p>
        </w:tc>
        <w:tc>
          <w:tcPr>
            <w:tcW w:w="300" w:type="pct"/>
            <w:vAlign w:val="center"/>
          </w:tcPr>
          <w:p w14:paraId="63D3E5C9">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截至</w:t>
            </w:r>
          </w:p>
          <w:p w14:paraId="3E92D0E0">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当年底</w:t>
            </w:r>
          </w:p>
        </w:tc>
        <w:tc>
          <w:tcPr>
            <w:tcW w:w="380" w:type="pct"/>
            <w:vAlign w:val="center"/>
          </w:tcPr>
          <w:p w14:paraId="58D38CAB">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截至第二年</w:t>
            </w:r>
          </w:p>
          <w:p w14:paraId="32349A75">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6月底</w:t>
            </w:r>
          </w:p>
        </w:tc>
        <w:tc>
          <w:tcPr>
            <w:tcW w:w="349" w:type="pct"/>
            <w:vAlign w:val="center"/>
          </w:tcPr>
          <w:p w14:paraId="7DF1F6CF">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截至</w:t>
            </w:r>
          </w:p>
          <w:p w14:paraId="3208241F">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当年底</w:t>
            </w:r>
          </w:p>
        </w:tc>
        <w:tc>
          <w:tcPr>
            <w:tcW w:w="375" w:type="pct"/>
            <w:vAlign w:val="center"/>
          </w:tcPr>
          <w:p w14:paraId="69CA5E2A">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截至第二年</w:t>
            </w:r>
          </w:p>
          <w:p w14:paraId="5D8128B7">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6月底</w:t>
            </w:r>
          </w:p>
        </w:tc>
      </w:tr>
      <w:tr w14:paraId="154E9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jc w:val="center"/>
        </w:trPr>
        <w:tc>
          <w:tcPr>
            <w:tcBorders>
              <w:top w:val="single" w:color="auto" w:sz="4" w:space="0"/>
              <w:left w:val="single" w:color="auto" w:sz="4" w:space="0"/>
              <w:bottom w:val="single" w:color="auto" w:sz="4" w:space="0"/>
              <w:right w:val="single" w:color="auto" w:sz="4" w:space="0"/>
            </w:tcBorders>
          </w:tcPr>
          <w:p w14:paraId="524374C0">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小型水库维修养护</w:t>
            </w:r>
          </w:p>
        </w:tc>
        <w:tc>
          <w:tcPr>
            <w:tcBorders>
              <w:top w:val="single" w:color="auto" w:sz="4" w:space="0"/>
              <w:left w:val="single" w:color="auto" w:sz="4" w:space="0"/>
              <w:bottom w:val="single" w:color="auto" w:sz="4" w:space="0"/>
              <w:right w:val="single" w:color="auto" w:sz="4" w:space="0"/>
            </w:tcBorders>
          </w:tcPr>
          <w:p w14:paraId="4928759F">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40</w:t>
            </w:r>
          </w:p>
        </w:tc>
        <w:tc>
          <w:tcPr>
            <w:tcBorders>
              <w:top w:val="single" w:color="auto" w:sz="4" w:space="0"/>
              <w:left w:val="single" w:color="auto" w:sz="4" w:space="0"/>
              <w:bottom w:val="single" w:color="auto" w:sz="4" w:space="0"/>
              <w:right w:val="single" w:color="auto" w:sz="4" w:space="0"/>
            </w:tcBorders>
          </w:tcPr>
          <w:p w14:paraId="28D1D4AE">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007B1AF7">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4687DAAC">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47E9C3CF">
            <w:pPr>
              <w:keepNext w:val="0"/>
              <w:keepLines w:val="0"/>
              <w:widowControl/>
              <w:suppressLineNumbers w:val="0"/>
              <w:spacing w:before="0" w:beforeAutospacing="0" w:after="0" w:afterAutospacing="0" w:line="180" w:lineRule="auto"/>
              <w:ind w:left="0" w:right="0" w:firstLine="0"/>
              <w:jc w:val="center"/>
              <w:rPr>
                <w:rFonts w:hint="default" w:eastAsia="仿宋_GB2312"/>
                <w:lang w:val="en-US" w:eastAsia="zh-CN"/>
              </w:rPr>
            </w:pPr>
            <w:r>
              <w:rPr>
                <w:rFonts w:hint="eastAsia" w:ascii="仿宋_GB2312" w:hAnsi="仿宋_GB2312" w:cs="仿宋_GB2312"/>
                <w:sz w:val="18"/>
                <w:lang w:val="en-US" w:eastAsia="zh-CN"/>
              </w:rPr>
              <w:t>28.4426</w:t>
            </w:r>
          </w:p>
        </w:tc>
        <w:tc>
          <w:tcPr>
            <w:tcBorders>
              <w:top w:val="single" w:color="auto" w:sz="4" w:space="0"/>
              <w:left w:val="single" w:color="auto" w:sz="4" w:space="0"/>
              <w:bottom w:val="single" w:color="auto" w:sz="4" w:space="0"/>
              <w:right w:val="single" w:color="auto" w:sz="4" w:space="0"/>
            </w:tcBorders>
          </w:tcPr>
          <w:p w14:paraId="51AFBEB3">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40</w:t>
            </w:r>
          </w:p>
        </w:tc>
        <w:tc>
          <w:tcPr>
            <w:tcBorders>
              <w:top w:val="single" w:color="auto" w:sz="4" w:space="0"/>
              <w:left w:val="single" w:color="auto" w:sz="4" w:space="0"/>
              <w:bottom w:val="single" w:color="auto" w:sz="4" w:space="0"/>
              <w:right w:val="single" w:color="auto" w:sz="4" w:space="0"/>
            </w:tcBorders>
          </w:tcPr>
          <w:p w14:paraId="397C407B">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76C35168">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5B4EDB74">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497DD70E">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59B3E8DF">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28E219BA">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094D11C5">
            <w:pPr>
              <w:keepNext w:val="0"/>
              <w:keepLines w:val="0"/>
              <w:widowControl/>
              <w:suppressLineNumbers w:val="0"/>
              <w:spacing w:before="0" w:beforeAutospacing="0" w:after="0" w:afterAutospacing="0" w:line="180" w:lineRule="auto"/>
              <w:ind w:left="0" w:right="0" w:firstLine="0"/>
              <w:jc w:val="center"/>
              <w:rPr>
                <w:rFonts w:hint="default"/>
              </w:rPr>
            </w:pPr>
            <w:r>
              <w:rPr>
                <w:rFonts w:hint="eastAsia" w:ascii="仿宋_GB2312" w:hAnsi="仿宋_GB2312" w:cs="仿宋_GB2312"/>
                <w:sz w:val="18"/>
                <w:lang w:val="en-US" w:eastAsia="zh-CN"/>
              </w:rPr>
              <w:t>71.11</w:t>
            </w:r>
            <w:r>
              <w:rPr>
                <w:rFonts w:hint="default" w:ascii="仿宋_GB2312" w:hAnsi="仿宋_GB2312" w:eastAsia="仿宋_GB2312" w:cs="仿宋_GB2312"/>
                <w:sz w:val="18"/>
              </w:rPr>
              <w:t>%</w:t>
            </w:r>
          </w:p>
        </w:tc>
        <w:tc>
          <w:tcPr>
            <w:tcBorders>
              <w:top w:val="single" w:color="auto" w:sz="4" w:space="0"/>
              <w:left w:val="single" w:color="auto" w:sz="4" w:space="0"/>
              <w:bottom w:val="single" w:color="auto" w:sz="4" w:space="0"/>
              <w:right w:val="single" w:color="auto" w:sz="4" w:space="0"/>
            </w:tcBorders>
          </w:tcPr>
          <w:p w14:paraId="01AA9CA7">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100.00%</w:t>
            </w:r>
          </w:p>
        </w:tc>
      </w:tr>
      <w:tr w14:paraId="6E4B2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jc w:val="center"/>
        </w:trPr>
        <w:tc>
          <w:tcPr>
            <w:tcBorders>
              <w:top w:val="single" w:color="auto" w:sz="4" w:space="0"/>
              <w:left w:val="single" w:color="auto" w:sz="4" w:space="0"/>
              <w:bottom w:val="single" w:color="auto" w:sz="4" w:space="0"/>
              <w:right w:val="single" w:color="auto" w:sz="4" w:space="0"/>
            </w:tcBorders>
          </w:tcPr>
          <w:p w14:paraId="58883772">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白蚁防治</w:t>
            </w:r>
          </w:p>
        </w:tc>
        <w:tc>
          <w:tcPr>
            <w:tcBorders>
              <w:top w:val="single" w:color="auto" w:sz="4" w:space="0"/>
              <w:left w:val="single" w:color="auto" w:sz="4" w:space="0"/>
              <w:bottom w:val="single" w:color="auto" w:sz="4" w:space="0"/>
              <w:right w:val="single" w:color="auto" w:sz="4" w:space="0"/>
            </w:tcBorders>
          </w:tcPr>
          <w:p w14:paraId="096A106B">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31</w:t>
            </w:r>
          </w:p>
        </w:tc>
        <w:tc>
          <w:tcPr>
            <w:tcBorders>
              <w:top w:val="single" w:color="auto" w:sz="4" w:space="0"/>
              <w:left w:val="single" w:color="auto" w:sz="4" w:space="0"/>
              <w:bottom w:val="single" w:color="auto" w:sz="4" w:space="0"/>
              <w:right w:val="single" w:color="auto" w:sz="4" w:space="0"/>
            </w:tcBorders>
          </w:tcPr>
          <w:p w14:paraId="7E94F292">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54635CBC">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5A456428">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3AE6704B">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31</w:t>
            </w:r>
          </w:p>
        </w:tc>
        <w:tc>
          <w:tcPr>
            <w:tcBorders>
              <w:top w:val="single" w:color="auto" w:sz="4" w:space="0"/>
              <w:left w:val="single" w:color="auto" w:sz="4" w:space="0"/>
              <w:bottom w:val="single" w:color="auto" w:sz="4" w:space="0"/>
              <w:right w:val="single" w:color="auto" w:sz="4" w:space="0"/>
            </w:tcBorders>
          </w:tcPr>
          <w:p w14:paraId="3E69B809">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31</w:t>
            </w:r>
          </w:p>
        </w:tc>
        <w:tc>
          <w:tcPr>
            <w:tcBorders>
              <w:top w:val="single" w:color="auto" w:sz="4" w:space="0"/>
              <w:left w:val="single" w:color="auto" w:sz="4" w:space="0"/>
              <w:bottom w:val="single" w:color="auto" w:sz="4" w:space="0"/>
              <w:right w:val="single" w:color="auto" w:sz="4" w:space="0"/>
            </w:tcBorders>
          </w:tcPr>
          <w:p w14:paraId="2A88C18E">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5FAF21D2">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114150E7">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4D7B3EB3">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3E091C87">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5E21DAD3">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472B4352">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100.00%</w:t>
            </w:r>
          </w:p>
        </w:tc>
        <w:tc>
          <w:tcPr>
            <w:tcBorders>
              <w:top w:val="single" w:color="auto" w:sz="4" w:space="0"/>
              <w:left w:val="single" w:color="auto" w:sz="4" w:space="0"/>
              <w:bottom w:val="single" w:color="auto" w:sz="4" w:space="0"/>
              <w:right w:val="single" w:color="auto" w:sz="4" w:space="0"/>
            </w:tcBorders>
          </w:tcPr>
          <w:p w14:paraId="4123E910">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100.00%</w:t>
            </w:r>
          </w:p>
        </w:tc>
      </w:tr>
      <w:tr w14:paraId="2570B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jc w:val="center"/>
        </w:trPr>
        <w:tc>
          <w:tcPr>
            <w:tcBorders>
              <w:top w:val="single" w:color="auto" w:sz="4" w:space="0"/>
              <w:left w:val="single" w:color="auto" w:sz="4" w:space="0"/>
              <w:bottom w:val="single" w:color="auto" w:sz="4" w:space="0"/>
              <w:right w:val="single" w:color="auto" w:sz="4" w:space="0"/>
            </w:tcBorders>
          </w:tcPr>
          <w:p w14:paraId="1A3DC5EC">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农业水价综合改革</w:t>
            </w:r>
          </w:p>
        </w:tc>
        <w:tc>
          <w:tcPr>
            <w:tcBorders>
              <w:top w:val="single" w:color="auto" w:sz="4" w:space="0"/>
              <w:left w:val="single" w:color="auto" w:sz="4" w:space="0"/>
              <w:bottom w:val="single" w:color="auto" w:sz="4" w:space="0"/>
              <w:right w:val="single" w:color="auto" w:sz="4" w:space="0"/>
            </w:tcBorders>
          </w:tcPr>
          <w:p w14:paraId="59CF851A">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24</w:t>
            </w:r>
          </w:p>
        </w:tc>
        <w:tc>
          <w:tcPr>
            <w:tcBorders>
              <w:top w:val="single" w:color="auto" w:sz="4" w:space="0"/>
              <w:left w:val="single" w:color="auto" w:sz="4" w:space="0"/>
              <w:bottom w:val="single" w:color="auto" w:sz="4" w:space="0"/>
              <w:right w:val="single" w:color="auto" w:sz="4" w:space="0"/>
            </w:tcBorders>
          </w:tcPr>
          <w:p w14:paraId="4081FD71">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14C92B41">
            <w:pPr>
              <w:keepNext w:val="0"/>
              <w:keepLines w:val="0"/>
              <w:widowControl/>
              <w:suppressLineNumbers w:val="0"/>
              <w:spacing w:before="0" w:beforeAutospacing="0" w:after="0" w:afterAutospacing="0" w:line="180" w:lineRule="auto"/>
              <w:ind w:left="0" w:right="0" w:firstLine="0"/>
              <w:jc w:val="center"/>
              <w:rPr>
                <w:rFonts w:hint="eastAsia" w:eastAsia="仿宋_GB2312"/>
                <w:lang w:eastAsia="zh-CN"/>
              </w:rPr>
            </w:pPr>
            <w:r>
              <w:rPr>
                <w:rFonts w:hint="eastAsia" w:ascii="仿宋_GB2312" w:hAnsi="仿宋_GB2312" w:cs="仿宋_GB2312"/>
                <w:sz w:val="18"/>
                <w:lang w:val="en-US" w:eastAsia="zh-CN"/>
              </w:rPr>
              <w:t>0</w:t>
            </w:r>
          </w:p>
        </w:tc>
        <w:tc>
          <w:tcPr>
            <w:tcBorders>
              <w:top w:val="single" w:color="auto" w:sz="4" w:space="0"/>
              <w:left w:val="single" w:color="auto" w:sz="4" w:space="0"/>
              <w:bottom w:val="single" w:color="auto" w:sz="4" w:space="0"/>
              <w:right w:val="single" w:color="auto" w:sz="4" w:space="0"/>
            </w:tcBorders>
          </w:tcPr>
          <w:p w14:paraId="1201E7F1">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3D191988">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24</w:t>
            </w:r>
          </w:p>
        </w:tc>
        <w:tc>
          <w:tcPr>
            <w:tcBorders>
              <w:top w:val="single" w:color="auto" w:sz="4" w:space="0"/>
              <w:left w:val="single" w:color="auto" w:sz="4" w:space="0"/>
              <w:bottom w:val="single" w:color="auto" w:sz="4" w:space="0"/>
              <w:right w:val="single" w:color="auto" w:sz="4" w:space="0"/>
            </w:tcBorders>
          </w:tcPr>
          <w:p w14:paraId="2C7FE671">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24</w:t>
            </w:r>
          </w:p>
        </w:tc>
        <w:tc>
          <w:tcPr>
            <w:tcBorders>
              <w:top w:val="single" w:color="auto" w:sz="4" w:space="0"/>
              <w:left w:val="single" w:color="auto" w:sz="4" w:space="0"/>
              <w:bottom w:val="single" w:color="auto" w:sz="4" w:space="0"/>
              <w:right w:val="single" w:color="auto" w:sz="4" w:space="0"/>
            </w:tcBorders>
          </w:tcPr>
          <w:p w14:paraId="53A17DF6">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0AF6202C">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5CF69183">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713D9C74">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7BC4DDEE">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32D384FB">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0</w:t>
            </w:r>
          </w:p>
        </w:tc>
        <w:tc>
          <w:tcPr>
            <w:tcBorders>
              <w:top w:val="single" w:color="auto" w:sz="4" w:space="0"/>
              <w:left w:val="single" w:color="auto" w:sz="4" w:space="0"/>
              <w:bottom w:val="single" w:color="auto" w:sz="4" w:space="0"/>
              <w:right w:val="single" w:color="auto" w:sz="4" w:space="0"/>
            </w:tcBorders>
          </w:tcPr>
          <w:p w14:paraId="0AC09237">
            <w:pPr>
              <w:keepNext w:val="0"/>
              <w:keepLines w:val="0"/>
              <w:widowControl/>
              <w:suppressLineNumbers w:val="0"/>
              <w:spacing w:before="0" w:beforeAutospacing="0" w:after="0" w:afterAutospacing="0" w:line="180" w:lineRule="auto"/>
              <w:ind w:left="0" w:right="0" w:firstLine="0"/>
              <w:jc w:val="center"/>
              <w:rPr>
                <w:rFonts w:hint="default"/>
              </w:rPr>
            </w:pPr>
            <w:r>
              <w:rPr>
                <w:rFonts w:hint="eastAsia" w:ascii="仿宋_GB2312" w:hAnsi="仿宋_GB2312" w:cs="仿宋_GB2312"/>
                <w:sz w:val="18"/>
                <w:lang w:val="en-US" w:eastAsia="zh-CN"/>
              </w:rPr>
              <w:t>100</w:t>
            </w:r>
            <w:r>
              <w:rPr>
                <w:rFonts w:hint="default" w:ascii="仿宋_GB2312" w:hAnsi="仿宋_GB2312" w:eastAsia="仿宋_GB2312" w:cs="仿宋_GB2312"/>
                <w:sz w:val="18"/>
              </w:rPr>
              <w:t>%</w:t>
            </w:r>
          </w:p>
        </w:tc>
        <w:tc>
          <w:tcPr>
            <w:tcBorders>
              <w:top w:val="single" w:color="auto" w:sz="4" w:space="0"/>
              <w:left w:val="single" w:color="auto" w:sz="4" w:space="0"/>
              <w:bottom w:val="single" w:color="auto" w:sz="4" w:space="0"/>
              <w:right w:val="single" w:color="auto" w:sz="4" w:space="0"/>
            </w:tcBorders>
          </w:tcPr>
          <w:p w14:paraId="524EE171">
            <w:pPr>
              <w:keepNext w:val="0"/>
              <w:keepLines w:val="0"/>
              <w:widowControl/>
              <w:suppressLineNumbers w:val="0"/>
              <w:spacing w:before="0" w:beforeAutospacing="0" w:after="0" w:afterAutospacing="0" w:line="180" w:lineRule="auto"/>
              <w:ind w:left="0" w:right="0" w:firstLine="0"/>
              <w:jc w:val="center"/>
              <w:rPr>
                <w:rFonts w:hint="default"/>
              </w:rPr>
            </w:pPr>
            <w:r>
              <w:rPr>
                <w:rFonts w:hint="eastAsia" w:ascii="仿宋_GB2312" w:hAnsi="仿宋_GB2312" w:cs="仿宋_GB2312"/>
                <w:sz w:val="18"/>
                <w:lang w:val="en-US" w:eastAsia="zh-CN"/>
              </w:rPr>
              <w:t>100</w:t>
            </w:r>
            <w:r>
              <w:rPr>
                <w:rFonts w:hint="default" w:ascii="仿宋_GB2312" w:hAnsi="仿宋_GB2312" w:eastAsia="仿宋_GB2312" w:cs="仿宋_GB2312"/>
                <w:sz w:val="18"/>
              </w:rPr>
              <w:t>%</w:t>
            </w:r>
          </w:p>
        </w:tc>
      </w:tr>
    </w:tbl>
    <w:p w14:paraId="5B8396F7">
      <w:pPr>
        <w:pStyle w:val="2"/>
        <w:rPr>
          <w:rFonts w:hint="default" w:ascii="Times New Roman" w:hAnsi="Times New Roman" w:cs="Times New Roman"/>
          <w:sz w:val="22"/>
          <w:szCs w:val="24"/>
          <w:highlight w:val="none"/>
        </w:rPr>
      </w:pPr>
    </w:p>
    <w:p w14:paraId="22CF83EA">
      <w:pPr>
        <w:pStyle w:val="2"/>
        <w:rPr>
          <w:rFonts w:hint="default" w:ascii="Times New Roman" w:hAnsi="Times New Roman" w:cs="Times New Roman"/>
          <w:sz w:val="22"/>
          <w:szCs w:val="24"/>
          <w:highlight w:val="none"/>
        </w:rPr>
        <w:sectPr>
          <w:pgSz w:w="16838" w:h="11906" w:orient="landscape"/>
          <w:pgMar w:top="1800" w:right="1440" w:bottom="1800" w:left="1440" w:header="851" w:footer="850" w:gutter="0"/>
          <w:cols w:space="425" w:num="1"/>
          <w:docGrid w:type="lines" w:linePitch="381" w:charSpace="0"/>
        </w:sectPr>
      </w:pPr>
    </w:p>
    <w:p w14:paraId="4BDFCE95">
      <w:pPr>
        <w:keepNext w:val="0"/>
        <w:keepLines w:val="0"/>
        <w:pageBreakBefore w:val="0"/>
        <w:widowControl w:val="0"/>
        <w:kinsoku/>
        <w:wordWrap/>
        <w:overflowPunct/>
        <w:topLinePunct w:val="0"/>
        <w:autoSpaceDE/>
        <w:autoSpaceDN/>
        <w:bidi w:val="0"/>
        <w:adjustRightInd/>
        <w:snapToGrid/>
        <w:spacing w:line="360" w:lineRule="auto"/>
        <w:ind w:firstLine="640"/>
        <w:textAlignment w:val="auto"/>
        <w:outlineLvl w:val="2"/>
        <w:rPr>
          <w:rFonts w:hint="eastAsia" w:ascii="Times New Roman" w:hAnsi="Times New Roman" w:cs="Times New Roman"/>
          <w:b/>
          <w:bCs/>
          <w:sz w:val="32"/>
          <w:szCs w:val="32"/>
          <w:highlight w:val="none"/>
          <w:lang w:val="en-US" w:eastAsia="zh-CN"/>
        </w:rPr>
      </w:pPr>
      <w:r>
        <w:rPr>
          <w:rFonts w:hint="eastAsia" w:ascii="Times New Roman" w:hAnsi="Times New Roman" w:cs="Times New Roman"/>
          <w:b/>
          <w:bCs/>
          <w:sz w:val="32"/>
          <w:szCs w:val="32"/>
          <w:highlight w:val="none"/>
          <w:lang w:val="en-US" w:eastAsia="zh-CN"/>
        </w:rPr>
        <w:t>3.资金支付情况</w:t>
      </w:r>
    </w:p>
    <w:p w14:paraId="11BCDDA0">
      <w:pPr>
        <w:ind w:firstLine="640"/>
        <w:rPr>
          <w:rFonts w:hint="eastAsia" w:cs="Times New Roman"/>
          <w:sz w:val="32"/>
          <w:highlight w:val="none"/>
          <w:u w:val="single"/>
        </w:rPr>
      </w:pPr>
      <w:r>
        <w:rPr>
          <w:rFonts w:eastAsia="仿宋" w:cs="Times New Roman"/>
          <w:sz w:val="32"/>
          <w:szCs w:val="32"/>
          <w:highlight w:val="none"/>
        </w:rPr>
        <w:t>截至202</w:t>
      </w:r>
      <w:r>
        <w:rPr>
          <w:rFonts w:hint="eastAsia" w:eastAsia="仿宋" w:cs="Times New Roman"/>
          <w:sz w:val="32"/>
          <w:szCs w:val="32"/>
          <w:highlight w:val="none"/>
          <w:lang w:val="en-US" w:eastAsia="zh-CN"/>
        </w:rPr>
        <w:t>5</w:t>
      </w:r>
      <w:r>
        <w:rPr>
          <w:rFonts w:eastAsia="仿宋" w:cs="Times New Roman"/>
          <w:sz w:val="32"/>
          <w:szCs w:val="32"/>
          <w:highlight w:val="none"/>
        </w:rPr>
        <w:t>年6月底，</w:t>
      </w:r>
      <w:r>
        <w:rPr>
          <w:rFonts w:hint="eastAsia" w:eastAsia="仿宋" w:cs="Times New Roman"/>
          <w:sz w:val="32"/>
          <w:szCs w:val="32"/>
          <w:highlight w:val="none"/>
          <w:lang w:eastAsia="zh-CN"/>
        </w:rPr>
        <w:t>已申请资金</w:t>
      </w:r>
      <w:r>
        <w:rPr>
          <w:rFonts w:hint="eastAsia" w:eastAsia="仿宋" w:cs="Times New Roman"/>
          <w:sz w:val="32"/>
          <w:szCs w:val="32"/>
          <w:highlight w:val="none"/>
          <w:lang w:val="en-US" w:eastAsia="zh-CN"/>
        </w:rPr>
        <w:t>46.25万元，</w:t>
      </w:r>
      <w:r>
        <w:rPr>
          <w:rFonts w:hint="eastAsia" w:cs="Times New Roman"/>
          <w:sz w:val="32"/>
          <w:highlight w:val="none"/>
        </w:rPr>
        <w:t>共</w:t>
      </w:r>
      <w:r>
        <w:rPr>
          <w:rFonts w:hint="eastAsia" w:cs="Times New Roman"/>
          <w:sz w:val="32"/>
          <w:highlight w:val="none"/>
          <w:lang w:val="en-US" w:eastAsia="zh-CN"/>
        </w:rPr>
        <w:t>支付</w:t>
      </w:r>
      <w:r>
        <w:rPr>
          <w:rFonts w:hint="eastAsia" w:cs="Times New Roman"/>
          <w:sz w:val="32"/>
          <w:highlight w:val="none"/>
        </w:rPr>
        <w:t>中央</w:t>
      </w:r>
      <w:r>
        <w:rPr>
          <w:rFonts w:hint="eastAsia" w:cs="Times New Roman"/>
          <w:sz w:val="32"/>
          <w:highlight w:val="none"/>
          <w:lang w:val="en-US" w:eastAsia="zh-CN"/>
        </w:rPr>
        <w:t>资金</w:t>
      </w:r>
      <w:r>
        <w:rPr>
          <w:rFonts w:hint="eastAsia" w:eastAsia="仿宋" w:cs="Times New Roman"/>
          <w:sz w:val="32"/>
          <w:szCs w:val="32"/>
          <w:highlight w:val="none"/>
          <w:lang w:val="en-US" w:eastAsia="zh-CN"/>
        </w:rPr>
        <w:t>24.31万</w:t>
      </w:r>
      <w:r>
        <w:rPr>
          <w:rFonts w:eastAsia="仿宋" w:cs="Times New Roman"/>
          <w:sz w:val="32"/>
          <w:szCs w:val="32"/>
          <w:highlight w:val="none"/>
        </w:rPr>
        <w:t>元</w:t>
      </w:r>
      <w:r>
        <w:rPr>
          <w:rFonts w:hint="eastAsia" w:eastAsia="仿宋" w:cs="Times New Roman"/>
          <w:sz w:val="32"/>
          <w:szCs w:val="32"/>
          <w:highlight w:val="none"/>
        </w:rPr>
        <w:t>，</w:t>
      </w:r>
      <w:r>
        <w:rPr>
          <w:rFonts w:hint="eastAsia" w:eastAsia="仿宋" w:cs="Times New Roman"/>
          <w:sz w:val="32"/>
          <w:szCs w:val="32"/>
          <w:highlight w:val="none"/>
          <w:lang w:val="en-US" w:eastAsia="zh-CN"/>
        </w:rPr>
        <w:t xml:space="preserve"> 已申请未支付资金21.94万元，支付率25.59%</w:t>
      </w:r>
      <w:r>
        <w:rPr>
          <w:rFonts w:hint="eastAsia" w:eastAsia="仿宋" w:cs="Times New Roman"/>
          <w:sz w:val="32"/>
          <w:szCs w:val="32"/>
          <w:highlight w:val="none"/>
        </w:rPr>
        <w:t>。</w:t>
      </w:r>
      <w:r>
        <w:rPr>
          <w:rFonts w:hint="eastAsia" w:eastAsia="仿宋" w:cs="Times New Roman"/>
          <w:sz w:val="32"/>
          <w:szCs w:val="32"/>
          <w:highlight w:val="none"/>
          <w:lang w:eastAsia="zh-CN"/>
        </w:rPr>
        <w:t>支付进度较低的原因是财政支付进度缓慢；部分项目材料已报送财审中心审结中，等出具结算定案表再申请余款。</w:t>
      </w:r>
    </w:p>
    <w:p w14:paraId="325D86D1">
      <w:pPr>
        <w:spacing w:before="0" w:beforeLines="-2147483648" w:after="0" w:afterLines="-2147483648" w:line="572" w:lineRule="exact"/>
        <w:ind w:firstLine="0" w:firstLineChars="0"/>
        <w:jc w:val="center"/>
        <w:rPr>
          <w:rFonts w:hint="default" w:ascii="Times New Roman" w:hAnsi="Times New Roman" w:cs="Times New Roman"/>
          <w:highlight w:val="none"/>
        </w:rPr>
      </w:pPr>
      <w:r>
        <w:rPr>
          <w:rFonts w:hint="default" w:ascii="Times New Roman" w:hAnsi="Times New Roman" w:cs="Times New Roman"/>
          <w:highlight w:val="none"/>
        </w:rPr>
        <w:t>表</w:t>
      </w:r>
      <w:r>
        <w:rPr>
          <w:rFonts w:hint="eastAsia" w:ascii="Times New Roman" w:hAnsi="Times New Roman" w:cs="Times New Roman"/>
          <w:highlight w:val="none"/>
          <w:lang w:val="en-US" w:eastAsia="zh-CN"/>
        </w:rPr>
        <w:t>4</w:t>
      </w:r>
      <w:r>
        <w:rPr>
          <w:rFonts w:ascii="Times New Roman" w:hAnsi="Times New Roman" w:cs="Times New Roman"/>
          <w:highlight w:val="none"/>
        </w:rPr>
        <w:t xml:space="preserve">  202</w:t>
      </w:r>
      <w:r>
        <w:rPr>
          <w:rFonts w:hint="default" w:ascii="Times New Roman" w:hAnsi="Times New Roman" w:cs="Times New Roman"/>
          <w:highlight w:val="none"/>
          <w:lang w:val="en-US" w:eastAsia="zh-CN"/>
        </w:rPr>
        <w:t>4</w:t>
      </w:r>
      <w:r>
        <w:rPr>
          <w:rFonts w:hint="default" w:ascii="Times New Roman" w:hAnsi="Times New Roman" w:cs="Times New Roman"/>
          <w:highlight w:val="none"/>
        </w:rPr>
        <w:t>年度水利发展资金</w:t>
      </w:r>
      <w:r>
        <w:rPr>
          <w:rFonts w:hint="default" w:ascii="Times New Roman" w:hAnsi="Times New Roman" w:cs="Times New Roman"/>
          <w:highlight w:val="none"/>
          <w:lang w:val="en-US" w:eastAsia="zh-CN"/>
        </w:rPr>
        <w:t>支付</w:t>
      </w:r>
      <w:r>
        <w:rPr>
          <w:rFonts w:hint="default" w:ascii="Times New Roman" w:hAnsi="Times New Roman" w:cs="Times New Roman"/>
          <w:highlight w:val="none"/>
        </w:rPr>
        <w:t>情况表</w:t>
      </w:r>
    </w:p>
    <w:tbl>
      <w:tblPr>
        <w:tblStyle w:val="13"/>
        <w:tblW w:w="501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28" w:type="dxa"/>
        </w:tblCellMar>
      </w:tblPr>
      <w:tblGrid>
        <w:gridCol w:w="2167"/>
        <w:gridCol w:w="2305"/>
        <w:gridCol w:w="2034"/>
        <w:gridCol w:w="1855"/>
      </w:tblGrid>
      <w:tr w14:paraId="5C4A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552" w:hRule="atLeast"/>
          <w:tblHeader/>
          <w:jc w:val="center"/>
        </w:trPr>
        <w:tc>
          <w:tcPr>
            <w:tcW w:w="1296" w:type="pct"/>
            <w:vMerge w:val="restart"/>
            <w:vAlign w:val="center"/>
          </w:tcPr>
          <w:p w14:paraId="4FC5EB1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firstLine="0" w:firstLineChars="0"/>
              <w:jc w:val="center"/>
              <w:textAlignment w:val="auto"/>
              <w:rPr>
                <w:rFonts w:hint="eastAsia" w:ascii="仿宋_GB2312" w:hAnsi="宋体" w:eastAsia="仿宋_GB2312"/>
                <w:kern w:val="0"/>
                <w:sz w:val="18"/>
                <w:szCs w:val="18"/>
                <w:highlight w:val="none"/>
                <w:lang w:val="en-US" w:eastAsia="zh-CN"/>
              </w:rPr>
            </w:pPr>
            <w:r>
              <w:rPr>
                <w:rFonts w:hint="eastAsia" w:ascii="仿宋_GB2312" w:hAnsi="宋体"/>
                <w:kern w:val="0"/>
                <w:sz w:val="18"/>
                <w:szCs w:val="18"/>
                <w:highlight w:val="none"/>
                <w:lang w:val="en-US" w:eastAsia="zh-CN"/>
              </w:rPr>
              <w:t>分类</w:t>
            </w:r>
          </w:p>
        </w:tc>
        <w:tc>
          <w:tcPr>
            <w:tcW w:w="1378" w:type="pct"/>
            <w:vMerge w:val="restart"/>
            <w:vAlign w:val="center"/>
          </w:tcPr>
          <w:p w14:paraId="2AFBE7F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firstLine="0" w:firstLineChars="0"/>
              <w:jc w:val="center"/>
              <w:textAlignment w:val="auto"/>
              <w:rPr>
                <w:rFonts w:hint="eastAsia" w:ascii="仿宋_GB2312" w:hAnsi="宋体" w:cs="仿宋_GB2312"/>
                <w:kern w:val="0"/>
                <w:sz w:val="18"/>
                <w:szCs w:val="18"/>
                <w:highlight w:val="none"/>
                <w:lang w:val="en-US" w:eastAsia="zh-CN"/>
              </w:rPr>
            </w:pPr>
            <w:r>
              <w:rPr>
                <w:rFonts w:hint="eastAsia" w:ascii="仿宋_GB2312" w:hAnsi="宋体" w:eastAsia="仿宋_GB2312" w:cs="仿宋_GB2312"/>
                <w:kern w:val="0"/>
                <w:sz w:val="18"/>
                <w:szCs w:val="18"/>
                <w:highlight w:val="none"/>
                <w:lang w:val="en-US" w:eastAsia="zh-CN"/>
              </w:rPr>
              <w:t>批复中央</w:t>
            </w:r>
            <w:r>
              <w:rPr>
                <w:rFonts w:hint="eastAsia" w:ascii="仿宋_GB2312" w:hAnsi="宋体" w:cs="仿宋_GB2312"/>
                <w:kern w:val="0"/>
                <w:sz w:val="18"/>
                <w:szCs w:val="18"/>
                <w:highlight w:val="none"/>
                <w:lang w:val="en-US" w:eastAsia="zh-CN"/>
              </w:rPr>
              <w:t>资金</w:t>
            </w:r>
          </w:p>
          <w:p w14:paraId="1D19E58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firstLine="0" w:firstLineChars="0"/>
              <w:jc w:val="center"/>
              <w:textAlignment w:val="auto"/>
              <w:rPr>
                <w:rFonts w:hint="eastAsia" w:ascii="仿宋_GB2312" w:hAnsi="宋体" w:eastAsia="仿宋_GB2312" w:cs="仿宋_GB2312"/>
                <w:kern w:val="0"/>
                <w:sz w:val="18"/>
                <w:szCs w:val="18"/>
                <w:highlight w:val="none"/>
                <w:lang w:val="en-US" w:eastAsia="zh-CN"/>
              </w:rPr>
            </w:pPr>
            <w:r>
              <w:rPr>
                <w:rFonts w:hint="eastAsia" w:ascii="仿宋_GB2312" w:hAnsi="宋体" w:eastAsia="仿宋_GB2312" w:cs="仿宋_GB2312"/>
                <w:kern w:val="0"/>
                <w:sz w:val="18"/>
                <w:szCs w:val="18"/>
                <w:highlight w:val="none"/>
                <w:lang w:val="en-US" w:eastAsia="zh-CN"/>
              </w:rPr>
              <w:t>（万元）</w:t>
            </w:r>
          </w:p>
        </w:tc>
        <w:tc>
          <w:tcPr>
            <w:tcW w:w="2325" w:type="pct"/>
            <w:gridSpan w:val="2"/>
            <w:vAlign w:val="center"/>
          </w:tcPr>
          <w:p w14:paraId="4959C6B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firstLine="0" w:firstLineChars="0"/>
              <w:jc w:val="center"/>
              <w:textAlignment w:val="auto"/>
              <w:rPr>
                <w:rFonts w:hint="eastAsia" w:ascii="仿宋_GB2312" w:hAnsi="宋体" w:cs="仿宋_GB2312"/>
                <w:kern w:val="0"/>
                <w:sz w:val="18"/>
                <w:szCs w:val="18"/>
                <w:highlight w:val="none"/>
              </w:rPr>
            </w:pPr>
            <w:r>
              <w:rPr>
                <w:rFonts w:hint="eastAsia" w:ascii="仿宋_GB2312" w:hAnsi="宋体" w:cs="仿宋_GB2312"/>
                <w:kern w:val="0"/>
                <w:sz w:val="18"/>
                <w:szCs w:val="18"/>
                <w:highlight w:val="none"/>
              </w:rPr>
              <w:t>截至第二年</w:t>
            </w:r>
            <w:r>
              <w:rPr>
                <w:rFonts w:hint="default" w:ascii="Times New Roman" w:hAnsi="Times New Roman" w:cs="Times New Roman"/>
                <w:kern w:val="0"/>
                <w:sz w:val="18"/>
                <w:szCs w:val="18"/>
                <w:highlight w:val="none"/>
              </w:rPr>
              <w:t>6</w:t>
            </w:r>
            <w:r>
              <w:rPr>
                <w:rFonts w:hint="eastAsia" w:ascii="仿宋_GB2312" w:hAnsi="宋体" w:cs="仿宋_GB2312"/>
                <w:kern w:val="0"/>
                <w:sz w:val="18"/>
                <w:szCs w:val="18"/>
                <w:highlight w:val="none"/>
              </w:rPr>
              <w:t>月底</w:t>
            </w:r>
          </w:p>
        </w:tc>
      </w:tr>
      <w:tr w14:paraId="4A7D4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552" w:hRule="atLeast"/>
          <w:tblHeader/>
          <w:jc w:val="center"/>
        </w:trPr>
        <w:tc>
          <w:tcPr>
            <w:tcW w:w="1296" w:type="pct"/>
            <w:vMerge w:val="continue"/>
            <w:vAlign w:val="center"/>
          </w:tcPr>
          <w:p w14:paraId="5B3C7B3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firstLine="0" w:firstLineChars="0"/>
              <w:jc w:val="center"/>
              <w:textAlignment w:val="auto"/>
              <w:rPr>
                <w:rFonts w:hint="eastAsia" w:ascii="仿宋_GB2312" w:hAnsi="宋体"/>
                <w:kern w:val="0"/>
                <w:sz w:val="18"/>
                <w:szCs w:val="18"/>
                <w:highlight w:val="none"/>
                <w:lang w:val="en-US" w:eastAsia="zh-CN"/>
              </w:rPr>
            </w:pPr>
          </w:p>
        </w:tc>
        <w:tc>
          <w:tcPr>
            <w:tcW w:w="1378" w:type="pct"/>
            <w:vMerge w:val="continue"/>
            <w:vAlign w:val="center"/>
          </w:tcPr>
          <w:p w14:paraId="4F5F77A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firstLine="0" w:firstLineChars="0"/>
              <w:jc w:val="center"/>
              <w:textAlignment w:val="auto"/>
              <w:rPr>
                <w:rFonts w:hint="default" w:ascii="宋体" w:hAnsi="宋体" w:eastAsia="宋体"/>
                <w:kern w:val="0"/>
                <w:sz w:val="18"/>
                <w:szCs w:val="18"/>
                <w:highlight w:val="none"/>
              </w:rPr>
            </w:pPr>
          </w:p>
        </w:tc>
        <w:tc>
          <w:tcPr>
            <w:tcW w:w="1216" w:type="pct"/>
            <w:vAlign w:val="center"/>
          </w:tcPr>
          <w:p w14:paraId="31CEC11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firstLine="0" w:firstLineChars="0"/>
              <w:jc w:val="center"/>
              <w:textAlignment w:val="auto"/>
              <w:rPr>
                <w:rFonts w:hint="eastAsia" w:ascii="仿宋_GB2312" w:hAnsi="宋体" w:cs="仿宋_GB2312"/>
                <w:kern w:val="0"/>
                <w:sz w:val="18"/>
                <w:szCs w:val="18"/>
                <w:highlight w:val="none"/>
                <w:lang w:val="en-US" w:eastAsia="zh-CN"/>
              </w:rPr>
            </w:pPr>
            <w:r>
              <w:rPr>
                <w:rFonts w:hint="eastAsia" w:ascii="仿宋_GB2312" w:hAnsi="宋体" w:cs="仿宋_GB2312"/>
                <w:kern w:val="0"/>
                <w:sz w:val="18"/>
                <w:szCs w:val="18"/>
                <w:highlight w:val="none"/>
                <w:lang w:val="en-US" w:eastAsia="zh-CN"/>
              </w:rPr>
              <w:t>支付中央资金</w:t>
            </w:r>
          </w:p>
          <w:p w14:paraId="6E95E99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firstLine="0" w:firstLineChars="0"/>
              <w:jc w:val="center"/>
              <w:textAlignment w:val="auto"/>
              <w:rPr>
                <w:rFonts w:hint="default" w:ascii="宋体" w:hAnsi="宋体" w:eastAsia="宋体"/>
                <w:kern w:val="0"/>
                <w:sz w:val="18"/>
                <w:szCs w:val="18"/>
                <w:highlight w:val="none"/>
              </w:rPr>
            </w:pPr>
            <w:r>
              <w:rPr>
                <w:rFonts w:hint="eastAsia" w:ascii="仿宋_GB2312" w:hAnsi="宋体" w:cs="仿宋_GB2312"/>
                <w:kern w:val="0"/>
                <w:sz w:val="18"/>
                <w:szCs w:val="18"/>
                <w:highlight w:val="none"/>
                <w:lang w:val="en-US" w:eastAsia="zh-CN"/>
              </w:rPr>
              <w:t>（万元）</w:t>
            </w:r>
          </w:p>
        </w:tc>
        <w:tc>
          <w:tcPr>
            <w:tcW w:w="1109" w:type="pct"/>
            <w:vAlign w:val="center"/>
          </w:tcPr>
          <w:p w14:paraId="1854B8A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firstLine="0" w:firstLineChars="0"/>
              <w:jc w:val="center"/>
              <w:textAlignment w:val="auto"/>
              <w:rPr>
                <w:rFonts w:hint="eastAsia" w:ascii="仿宋_GB2312" w:hAnsi="宋体" w:cs="仿宋_GB2312"/>
                <w:kern w:val="0"/>
                <w:sz w:val="18"/>
                <w:szCs w:val="18"/>
                <w:highlight w:val="none"/>
                <w:lang w:val="en-US" w:eastAsia="zh-CN"/>
              </w:rPr>
            </w:pPr>
            <w:r>
              <w:rPr>
                <w:rFonts w:hint="eastAsia" w:ascii="仿宋_GB2312" w:hAnsi="宋体" w:cs="仿宋_GB2312"/>
                <w:kern w:val="0"/>
                <w:sz w:val="18"/>
                <w:szCs w:val="18"/>
                <w:highlight w:val="none"/>
                <w:lang w:val="en-US" w:eastAsia="zh-CN"/>
              </w:rPr>
              <w:t>中央资金支付率</w:t>
            </w:r>
          </w:p>
          <w:p w14:paraId="440B255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firstLine="0" w:firstLineChars="0"/>
              <w:jc w:val="center"/>
              <w:textAlignment w:val="auto"/>
              <w:rPr>
                <w:rFonts w:hint="default" w:ascii="宋体" w:hAnsi="宋体" w:eastAsia="宋体"/>
                <w:kern w:val="0"/>
                <w:sz w:val="18"/>
                <w:szCs w:val="18"/>
                <w:highlight w:val="none"/>
              </w:rPr>
            </w:pPr>
            <w:r>
              <w:rPr>
                <w:rFonts w:hint="eastAsia" w:ascii="仿宋_GB2312" w:hAnsi="宋体" w:cs="仿宋_GB2312"/>
                <w:kern w:val="0"/>
                <w:sz w:val="18"/>
                <w:szCs w:val="18"/>
                <w:highlight w:val="none"/>
                <w:lang w:val="en-US" w:eastAsia="zh-CN"/>
              </w:rPr>
              <w:t>（%）</w:t>
            </w:r>
          </w:p>
        </w:tc>
      </w:tr>
      <w:tr w14:paraId="5A8CD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jc w:val="center"/>
        </w:trPr>
        <w:tc>
          <w:tcPr>
            <w:tcBorders>
              <w:top w:val="single" w:color="auto" w:sz="4" w:space="0"/>
              <w:left w:val="single" w:color="auto" w:sz="4" w:space="0"/>
              <w:bottom w:val="single" w:color="auto" w:sz="4" w:space="0"/>
              <w:right w:val="single" w:color="auto" w:sz="4" w:space="0"/>
            </w:tcBorders>
          </w:tcPr>
          <w:p w14:paraId="737B0FFE">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小型水库维修养护</w:t>
            </w:r>
          </w:p>
        </w:tc>
        <w:tc>
          <w:tcPr>
            <w:tcBorders>
              <w:top w:val="single" w:color="auto" w:sz="4" w:space="0"/>
              <w:left w:val="single" w:color="auto" w:sz="4" w:space="0"/>
              <w:bottom w:val="single" w:color="auto" w:sz="4" w:space="0"/>
              <w:right w:val="single" w:color="auto" w:sz="4" w:space="0"/>
            </w:tcBorders>
          </w:tcPr>
          <w:p w14:paraId="5A179CAA">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40</w:t>
            </w:r>
          </w:p>
        </w:tc>
        <w:tc>
          <w:tcPr>
            <w:tcBorders>
              <w:top w:val="single" w:color="auto" w:sz="4" w:space="0"/>
              <w:left w:val="single" w:color="auto" w:sz="4" w:space="0"/>
              <w:bottom w:val="single" w:color="auto" w:sz="4" w:space="0"/>
              <w:right w:val="single" w:color="auto" w:sz="4" w:space="0"/>
            </w:tcBorders>
          </w:tcPr>
          <w:p w14:paraId="720BB233">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4</w:t>
            </w:r>
          </w:p>
        </w:tc>
        <w:tc>
          <w:tcPr>
            <w:tcBorders>
              <w:top w:val="single" w:color="auto" w:sz="4" w:space="0"/>
              <w:left w:val="single" w:color="auto" w:sz="4" w:space="0"/>
              <w:bottom w:val="single" w:color="auto" w:sz="4" w:space="0"/>
              <w:right w:val="single" w:color="auto" w:sz="4" w:space="0"/>
            </w:tcBorders>
          </w:tcPr>
          <w:p w14:paraId="69B9A917">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10.00%</w:t>
            </w:r>
          </w:p>
        </w:tc>
      </w:tr>
      <w:tr w14:paraId="3B8E4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jc w:val="center"/>
        </w:trPr>
        <w:tc>
          <w:tcPr>
            <w:tcBorders>
              <w:top w:val="single" w:color="auto" w:sz="4" w:space="0"/>
              <w:left w:val="single" w:color="auto" w:sz="4" w:space="0"/>
              <w:bottom w:val="single" w:color="auto" w:sz="4" w:space="0"/>
              <w:right w:val="single" w:color="auto" w:sz="4" w:space="0"/>
            </w:tcBorders>
          </w:tcPr>
          <w:p w14:paraId="7E3EE315">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白蚁防治</w:t>
            </w:r>
          </w:p>
        </w:tc>
        <w:tc>
          <w:tcPr>
            <w:tcBorders>
              <w:top w:val="single" w:color="auto" w:sz="4" w:space="0"/>
              <w:left w:val="single" w:color="auto" w:sz="4" w:space="0"/>
              <w:bottom w:val="single" w:color="auto" w:sz="4" w:space="0"/>
              <w:right w:val="single" w:color="auto" w:sz="4" w:space="0"/>
            </w:tcBorders>
          </w:tcPr>
          <w:p w14:paraId="490822DF">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31</w:t>
            </w:r>
          </w:p>
        </w:tc>
        <w:tc>
          <w:tcPr>
            <w:tcBorders>
              <w:top w:val="single" w:color="auto" w:sz="4" w:space="0"/>
              <w:left w:val="single" w:color="auto" w:sz="4" w:space="0"/>
              <w:bottom w:val="single" w:color="auto" w:sz="4" w:space="0"/>
              <w:right w:val="single" w:color="auto" w:sz="4" w:space="0"/>
            </w:tcBorders>
          </w:tcPr>
          <w:p w14:paraId="2DEF1CBB">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18.306</w:t>
            </w:r>
          </w:p>
        </w:tc>
        <w:tc>
          <w:tcPr>
            <w:tcBorders>
              <w:top w:val="single" w:color="auto" w:sz="4" w:space="0"/>
              <w:left w:val="single" w:color="auto" w:sz="4" w:space="0"/>
              <w:bottom w:val="single" w:color="auto" w:sz="4" w:space="0"/>
              <w:right w:val="single" w:color="auto" w:sz="4" w:space="0"/>
            </w:tcBorders>
          </w:tcPr>
          <w:p w14:paraId="072242CB">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59.05%</w:t>
            </w:r>
          </w:p>
        </w:tc>
      </w:tr>
      <w:tr w14:paraId="02420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jc w:val="center"/>
        </w:trPr>
        <w:tc>
          <w:tcPr>
            <w:tcBorders>
              <w:top w:val="single" w:color="auto" w:sz="4" w:space="0"/>
              <w:left w:val="single" w:color="auto" w:sz="4" w:space="0"/>
              <w:bottom w:val="single" w:color="auto" w:sz="4" w:space="0"/>
              <w:right w:val="single" w:color="auto" w:sz="4" w:space="0"/>
            </w:tcBorders>
          </w:tcPr>
          <w:p w14:paraId="420E2028">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农业水价综合改革</w:t>
            </w:r>
          </w:p>
        </w:tc>
        <w:tc>
          <w:tcPr>
            <w:tcBorders>
              <w:top w:val="single" w:color="auto" w:sz="4" w:space="0"/>
              <w:left w:val="single" w:color="auto" w:sz="4" w:space="0"/>
              <w:bottom w:val="single" w:color="auto" w:sz="4" w:space="0"/>
              <w:right w:val="single" w:color="auto" w:sz="4" w:space="0"/>
            </w:tcBorders>
          </w:tcPr>
          <w:p w14:paraId="19A85A70">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24</w:t>
            </w:r>
          </w:p>
        </w:tc>
        <w:tc>
          <w:tcPr>
            <w:tcBorders>
              <w:top w:val="single" w:color="auto" w:sz="4" w:space="0"/>
              <w:left w:val="single" w:color="auto" w:sz="4" w:space="0"/>
              <w:bottom w:val="single" w:color="auto" w:sz="4" w:space="0"/>
              <w:right w:val="single" w:color="auto" w:sz="4" w:space="0"/>
            </w:tcBorders>
          </w:tcPr>
          <w:p w14:paraId="5B04C312">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2</w:t>
            </w:r>
          </w:p>
        </w:tc>
        <w:tc>
          <w:tcPr>
            <w:tcBorders>
              <w:top w:val="single" w:color="auto" w:sz="4" w:space="0"/>
              <w:left w:val="single" w:color="auto" w:sz="4" w:space="0"/>
              <w:bottom w:val="single" w:color="auto" w:sz="4" w:space="0"/>
              <w:right w:val="single" w:color="auto" w:sz="4" w:space="0"/>
            </w:tcBorders>
          </w:tcPr>
          <w:p w14:paraId="57D54772">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8.33%</w:t>
            </w:r>
          </w:p>
        </w:tc>
      </w:tr>
    </w:tbl>
    <w:p w14:paraId="5A9081AB">
      <w:pPr>
        <w:keepNext w:val="0"/>
        <w:keepLines w:val="0"/>
        <w:pageBreakBefore w:val="0"/>
        <w:widowControl w:val="0"/>
        <w:kinsoku/>
        <w:wordWrap/>
        <w:overflowPunct/>
        <w:topLinePunct w:val="0"/>
        <w:autoSpaceDE/>
        <w:autoSpaceDN/>
        <w:bidi w:val="0"/>
        <w:adjustRightInd/>
        <w:snapToGrid/>
        <w:spacing w:line="360" w:lineRule="auto"/>
        <w:ind w:firstLine="640"/>
        <w:textAlignment w:val="auto"/>
        <w:outlineLvl w:val="2"/>
        <w:rPr>
          <w:rFonts w:hint="default" w:ascii="Times New Roman" w:hAnsi="Times New Roman" w:cs="Times New Roman"/>
          <w:b/>
          <w:bCs/>
          <w:sz w:val="32"/>
          <w:szCs w:val="32"/>
          <w:highlight w:val="none"/>
        </w:rPr>
      </w:pPr>
      <w:r>
        <w:rPr>
          <w:rFonts w:hint="eastAsia" w:cs="Times New Roman"/>
          <w:b/>
          <w:bCs/>
          <w:sz w:val="32"/>
          <w:szCs w:val="32"/>
          <w:highlight w:val="none"/>
          <w:lang w:val="en-US" w:eastAsia="zh-CN"/>
        </w:rPr>
        <w:t>4</w:t>
      </w:r>
      <w:r>
        <w:rPr>
          <w:rFonts w:hint="default" w:ascii="Times New Roman" w:hAnsi="Times New Roman" w:cs="Times New Roman"/>
          <w:b/>
          <w:bCs/>
          <w:sz w:val="32"/>
          <w:szCs w:val="32"/>
          <w:highlight w:val="none"/>
        </w:rPr>
        <w:t>.资金管理情况</w:t>
      </w:r>
    </w:p>
    <w:p w14:paraId="11CF1180">
      <w:pPr>
        <w:widowControl w:val="0"/>
        <w:autoSpaceDE w:val="0"/>
        <w:autoSpaceDN w:val="0"/>
        <w:adjustRightInd w:val="0"/>
        <w:spacing w:after="200" w:line="360" w:lineRule="auto"/>
        <w:ind w:firstLine="640" w:firstLineChars="200"/>
        <w:rPr>
          <w:rFonts w:hint="default" w:ascii="Times New Roman" w:hAnsi="Times New Roman" w:eastAsia="方正小标宋简体" w:cs="Times New Roman"/>
          <w:color w:val="000000"/>
          <w:sz w:val="24"/>
          <w:szCs w:val="22"/>
          <w:highlight w:val="none"/>
          <w:lang w:val="en-US" w:eastAsia="zh-CN" w:bidi="ar-SA"/>
        </w:rPr>
      </w:pPr>
      <w:r>
        <w:rPr>
          <w:rFonts w:hint="eastAsia" w:ascii="Times New Roman" w:hAnsi="Times New Roman" w:eastAsia="仿宋_GB2312" w:cs="Times New Roman"/>
          <w:color w:val="000000"/>
          <w:sz w:val="32"/>
          <w:szCs w:val="32"/>
          <w:highlight w:val="none"/>
          <w:lang w:val="en-US" w:eastAsia="zh-CN" w:bidi="ar-SA"/>
        </w:rPr>
        <w:t>202</w:t>
      </w:r>
      <w:r>
        <w:rPr>
          <w:rFonts w:hint="eastAsia" w:cs="Times New Roman"/>
          <w:color w:val="000000"/>
          <w:sz w:val="32"/>
          <w:szCs w:val="32"/>
          <w:highlight w:val="none"/>
          <w:lang w:val="en-US" w:eastAsia="zh-CN" w:bidi="ar-SA"/>
        </w:rPr>
        <w:t>4</w:t>
      </w:r>
      <w:r>
        <w:rPr>
          <w:rFonts w:hint="eastAsia" w:ascii="Times New Roman" w:hAnsi="Times New Roman" w:eastAsia="仿宋_GB2312" w:cs="Times New Roman"/>
          <w:color w:val="000000"/>
          <w:sz w:val="32"/>
          <w:szCs w:val="32"/>
          <w:highlight w:val="none"/>
          <w:lang w:val="en-US" w:eastAsia="zh-CN" w:bidi="ar-SA"/>
        </w:rPr>
        <w:t>年度，</w:t>
      </w:r>
      <w:r>
        <w:rPr>
          <w:rFonts w:hint="eastAsia" w:ascii="Times New Roman" w:hAnsi="Times New Roman" w:eastAsia="仿宋_GB2312" w:cs="Times New Roman"/>
          <w:color w:val="auto"/>
          <w:kern w:val="2"/>
          <w:sz w:val="32"/>
          <w:szCs w:val="32"/>
          <w:highlight w:val="none"/>
          <w:lang w:val="en-US" w:eastAsia="zh-CN" w:bidi="ar-SA"/>
        </w:rPr>
        <w:t>中央水利发展资金下达</w:t>
      </w:r>
      <w:r>
        <w:rPr>
          <w:rFonts w:hint="eastAsia" w:cs="Times New Roman"/>
          <w:color w:val="auto"/>
          <w:kern w:val="2"/>
          <w:sz w:val="32"/>
          <w:szCs w:val="32"/>
          <w:highlight w:val="none"/>
          <w:u w:val="single"/>
          <w:lang w:val="en-US" w:eastAsia="zh-CN" w:bidi="ar-SA"/>
        </w:rPr>
        <w:t>韶关市曲江区</w:t>
      </w:r>
      <w:r>
        <w:rPr>
          <w:rFonts w:hint="eastAsia" w:ascii="Times New Roman" w:hAnsi="Times New Roman" w:eastAsia="仿宋_GB2312" w:cs="Times New Roman"/>
          <w:color w:val="auto"/>
          <w:kern w:val="2"/>
          <w:sz w:val="32"/>
          <w:szCs w:val="32"/>
          <w:highlight w:val="none"/>
          <w:lang w:val="en-US" w:eastAsia="zh-CN" w:bidi="ar-SA"/>
        </w:rPr>
        <w:t>资金</w:t>
      </w:r>
      <w:r>
        <w:rPr>
          <w:rFonts w:hint="eastAsia" w:cs="Times New Roman"/>
          <w:color w:val="auto"/>
          <w:kern w:val="2"/>
          <w:sz w:val="32"/>
          <w:szCs w:val="32"/>
          <w:highlight w:val="none"/>
          <w:lang w:val="en-US" w:eastAsia="zh-CN" w:bidi="ar-SA"/>
        </w:rPr>
        <w:t>95</w:t>
      </w:r>
      <w:r>
        <w:rPr>
          <w:rFonts w:hint="eastAsia" w:ascii="Times New Roman" w:hAnsi="Times New Roman" w:eastAsia="仿宋_GB2312" w:cs="Times New Roman"/>
          <w:color w:val="auto"/>
          <w:kern w:val="2"/>
          <w:sz w:val="32"/>
          <w:szCs w:val="32"/>
          <w:highlight w:val="none"/>
          <w:lang w:val="en-US" w:eastAsia="zh-CN" w:bidi="ar-SA"/>
        </w:rPr>
        <w:t>万元，在相关检查中</w:t>
      </w:r>
      <w:r>
        <w:rPr>
          <w:rFonts w:hint="eastAsia" w:ascii="Times New Roman" w:hAnsi="Times New Roman" w:eastAsia="仿宋_GB2312" w:cs="Times New Roman"/>
          <w:color w:val="auto"/>
          <w:kern w:val="2"/>
          <w:sz w:val="32"/>
          <w:szCs w:val="32"/>
          <w:highlight w:val="none"/>
          <w:u w:val="single"/>
          <w:lang w:val="en-US" w:eastAsia="zh-CN" w:bidi="ar-SA"/>
        </w:rPr>
        <w:t>无</w:t>
      </w:r>
      <w:r>
        <w:rPr>
          <w:rFonts w:hint="eastAsia" w:ascii="Times New Roman" w:hAnsi="Times New Roman" w:eastAsia="仿宋_GB2312" w:cs="Times New Roman"/>
          <w:color w:val="auto"/>
          <w:kern w:val="2"/>
          <w:sz w:val="32"/>
          <w:szCs w:val="32"/>
          <w:highlight w:val="none"/>
          <w:lang w:val="en-US" w:eastAsia="zh-CN" w:bidi="ar-SA"/>
        </w:rPr>
        <w:t>违纪违规问题。</w:t>
      </w:r>
    </w:p>
    <w:p w14:paraId="55A07369">
      <w:pPr>
        <w:pStyle w:val="4"/>
        <w:keepNext/>
        <w:keepLines/>
        <w:pageBreakBefore w:val="0"/>
        <w:widowControl/>
        <w:kinsoku/>
        <w:wordWrap/>
        <w:overflowPunct/>
        <w:topLinePunct w:val="0"/>
        <w:autoSpaceDE/>
        <w:autoSpaceDN/>
        <w:bidi w:val="0"/>
        <w:adjustRightInd/>
        <w:snapToGrid/>
        <w:spacing w:line="360" w:lineRule="auto"/>
        <w:ind w:firstLine="643"/>
        <w:textAlignment w:val="auto"/>
        <w:rPr>
          <w:rFonts w:hint="default" w:ascii="Times New Roman" w:hAnsi="Times New Roman" w:eastAsia="楷体_GB2312" w:cs="Times New Roman"/>
          <w:b/>
          <w:bCs w:val="0"/>
          <w:sz w:val="32"/>
          <w:highlight w:val="none"/>
        </w:rPr>
      </w:pPr>
      <w:r>
        <w:rPr>
          <w:rFonts w:hint="default" w:ascii="Times New Roman" w:hAnsi="Times New Roman" w:eastAsia="楷体_GB2312" w:cs="Times New Roman"/>
          <w:b/>
          <w:bCs w:val="0"/>
          <w:sz w:val="32"/>
          <w:highlight w:val="none"/>
        </w:rPr>
        <w:t>（</w:t>
      </w:r>
      <w:r>
        <w:rPr>
          <w:rFonts w:hint="eastAsia" w:eastAsia="楷体_GB2312" w:cs="Times New Roman"/>
          <w:b/>
          <w:bCs w:val="0"/>
          <w:sz w:val="32"/>
          <w:highlight w:val="none"/>
          <w:lang w:val="en-US" w:eastAsia="zh-CN"/>
        </w:rPr>
        <w:t>三</w:t>
      </w:r>
      <w:r>
        <w:rPr>
          <w:rFonts w:hint="default" w:ascii="Times New Roman" w:hAnsi="Times New Roman" w:eastAsia="楷体_GB2312" w:cs="Times New Roman"/>
          <w:b/>
          <w:bCs w:val="0"/>
          <w:sz w:val="32"/>
          <w:highlight w:val="none"/>
        </w:rPr>
        <w:t>）项目管理情况分析</w:t>
      </w:r>
    </w:p>
    <w:p w14:paraId="5DBBF1A2">
      <w:pPr>
        <w:keepNext w:val="0"/>
        <w:keepLines w:val="0"/>
        <w:pageBreakBefore w:val="0"/>
        <w:widowControl w:val="0"/>
        <w:kinsoku/>
        <w:wordWrap/>
        <w:overflowPunct/>
        <w:topLinePunct w:val="0"/>
        <w:autoSpaceDE/>
        <w:autoSpaceDN/>
        <w:bidi w:val="0"/>
        <w:adjustRightInd/>
        <w:snapToGrid/>
        <w:spacing w:line="360" w:lineRule="auto"/>
        <w:ind w:firstLine="640"/>
        <w:textAlignment w:val="auto"/>
        <w:outlineLvl w:val="2"/>
        <w:rPr>
          <w:rFonts w:hint="default" w:ascii="Times New Roman" w:hAnsi="Times New Roman" w:cs="Times New Roman"/>
          <w:b/>
          <w:bCs/>
          <w:sz w:val="32"/>
          <w:szCs w:val="32"/>
          <w:highlight w:val="none"/>
        </w:rPr>
      </w:pPr>
      <w:r>
        <w:rPr>
          <w:rFonts w:hint="default" w:ascii="Times New Roman" w:hAnsi="Times New Roman" w:cs="Times New Roman"/>
          <w:b/>
          <w:bCs/>
          <w:sz w:val="32"/>
          <w:szCs w:val="32"/>
          <w:highlight w:val="none"/>
        </w:rPr>
        <w:t>1.组织实施</w:t>
      </w:r>
    </w:p>
    <w:p w14:paraId="3E34F368">
      <w:pPr>
        <w:pStyle w:val="2"/>
        <w:ind w:firstLine="640"/>
        <w:rPr>
          <w:rFonts w:hint="default" w:ascii="Times New Roman" w:hAnsi="Times New Roman"/>
          <w:sz w:val="32"/>
          <w:szCs w:val="32"/>
          <w:highlight w:val="none"/>
          <w:u w:val="single"/>
        </w:rPr>
      </w:pPr>
      <w:r>
        <w:rPr>
          <w:rFonts w:hint="default" w:ascii="Times New Roman" w:hAnsi="Times New Roman"/>
          <w:sz w:val="32"/>
          <w:szCs w:val="32"/>
          <w:highlight w:val="none"/>
          <w:u w:val="single"/>
        </w:rPr>
        <w:t>202</w:t>
      </w:r>
      <w:r>
        <w:rPr>
          <w:rFonts w:hint="eastAsia"/>
          <w:sz w:val="32"/>
          <w:szCs w:val="32"/>
          <w:highlight w:val="none"/>
          <w:u w:val="single"/>
          <w:lang w:val="en-US" w:eastAsia="zh-CN"/>
        </w:rPr>
        <w:t>4</w:t>
      </w:r>
      <w:r>
        <w:rPr>
          <w:rFonts w:hint="default" w:ascii="Times New Roman" w:hAnsi="Times New Roman"/>
          <w:sz w:val="32"/>
          <w:szCs w:val="32"/>
          <w:highlight w:val="none"/>
          <w:u w:val="single"/>
        </w:rPr>
        <w:t>年度，中央水利发展资金的项目以监理月报、合同价或中标价、支付凭证、文号、支付时间、款项等作为依据，建立《202</w:t>
      </w:r>
      <w:r>
        <w:rPr>
          <w:rFonts w:hint="eastAsia"/>
          <w:sz w:val="32"/>
          <w:szCs w:val="32"/>
          <w:highlight w:val="none"/>
          <w:u w:val="single"/>
          <w:lang w:val="en-US" w:eastAsia="zh-CN"/>
        </w:rPr>
        <w:t>4</w:t>
      </w:r>
      <w:r>
        <w:rPr>
          <w:rFonts w:hint="default" w:ascii="Times New Roman" w:hAnsi="Times New Roman"/>
          <w:sz w:val="32"/>
          <w:szCs w:val="32"/>
          <w:highlight w:val="none"/>
          <w:u w:val="single"/>
        </w:rPr>
        <w:t>年中央水利投资计划完成情况表（按资金来源分)》台账。以韶关市曲江区水利工程建设与防御服务中心和韶关市</w:t>
      </w:r>
      <w:r>
        <w:rPr>
          <w:rFonts w:hint="eastAsia"/>
          <w:sz w:val="32"/>
          <w:szCs w:val="32"/>
          <w:highlight w:val="none"/>
          <w:u w:val="single"/>
          <w:lang w:eastAsia="zh-CN"/>
        </w:rPr>
        <w:t>小坑</w:t>
      </w:r>
      <w:r>
        <w:rPr>
          <w:rFonts w:hint="default" w:ascii="Times New Roman" w:hAnsi="Times New Roman"/>
          <w:sz w:val="32"/>
          <w:szCs w:val="32"/>
          <w:highlight w:val="none"/>
          <w:u w:val="single"/>
        </w:rPr>
        <w:t>水库管理处作为项目建设法人单位，并设立项目法人内设机构，明确人员分工及主要职责，负责组织实施工程建设管理，履行项目法人职责，对工程质量、进度、资金管理等负责；资金管理及项目或方案实施的保障机构健全，资金管理办法、项目管理办法或实施方案（计划）等制度健全、规范。</w:t>
      </w:r>
    </w:p>
    <w:p w14:paraId="456B1FD4">
      <w:pPr>
        <w:pStyle w:val="2"/>
        <w:ind w:firstLine="640"/>
        <w:rPr>
          <w:rFonts w:hint="default" w:ascii="Times New Roman" w:hAnsi="Times New Roman"/>
          <w:sz w:val="32"/>
          <w:szCs w:val="32"/>
          <w:highlight w:val="none"/>
          <w:u w:val="single"/>
        </w:rPr>
      </w:pPr>
      <w:r>
        <w:rPr>
          <w:rFonts w:hint="default" w:ascii="Times New Roman" w:hAnsi="Times New Roman"/>
          <w:sz w:val="32"/>
          <w:szCs w:val="32"/>
          <w:highlight w:val="none"/>
          <w:u w:val="single"/>
        </w:rPr>
        <w:t>为加强项目建设管理，编制年度计划，并加强执行情况的评估和考核；成立项目法人内设机构，明确职责；委托第三方质检、监理；为确保水利工程能够安全运行且发挥应有的作用，对小型水库工程管护实行物业化管理新模式。通过市场化运用，公开招标、邀请招标、询价或直接委托等市场化方式，择优选择管护单位，严格把控入选单位的资质，明确管护内容及要求；项目已全部完成，经验收工作组验收合格后，由实施单位移交给当地政府进行运行管理。</w:t>
      </w:r>
    </w:p>
    <w:p w14:paraId="75774D8C">
      <w:pPr>
        <w:keepNext w:val="0"/>
        <w:keepLines w:val="0"/>
        <w:pageBreakBefore w:val="0"/>
        <w:widowControl w:val="0"/>
        <w:kinsoku/>
        <w:wordWrap/>
        <w:overflowPunct/>
        <w:topLinePunct w:val="0"/>
        <w:autoSpaceDE/>
        <w:autoSpaceDN/>
        <w:bidi w:val="0"/>
        <w:adjustRightInd/>
        <w:snapToGrid/>
        <w:spacing w:line="360" w:lineRule="auto"/>
        <w:ind w:firstLine="640"/>
        <w:textAlignment w:val="auto"/>
        <w:outlineLvl w:val="2"/>
        <w:rPr>
          <w:rFonts w:hint="default" w:ascii="Times New Roman" w:hAnsi="Times New Roman" w:cs="Times New Roman"/>
          <w:b/>
          <w:bCs/>
          <w:sz w:val="32"/>
          <w:szCs w:val="32"/>
          <w:highlight w:val="none"/>
        </w:rPr>
      </w:pPr>
      <w:r>
        <w:rPr>
          <w:rFonts w:hint="default" w:ascii="Times New Roman" w:hAnsi="Times New Roman" w:cs="Times New Roman"/>
          <w:b/>
          <w:bCs/>
          <w:sz w:val="32"/>
          <w:szCs w:val="32"/>
          <w:highlight w:val="none"/>
        </w:rPr>
        <w:t>2.绩效管理</w:t>
      </w:r>
    </w:p>
    <w:p w14:paraId="7E6C54BD">
      <w:pPr>
        <w:pStyle w:val="2"/>
        <w:ind w:firstLine="640"/>
        <w:rPr>
          <w:rFonts w:hint="default" w:ascii="Times New Roman" w:hAnsi="Times New Roman"/>
          <w:sz w:val="32"/>
          <w:szCs w:val="32"/>
          <w:highlight w:val="none"/>
          <w:u w:val="single"/>
        </w:rPr>
      </w:pPr>
      <w:r>
        <w:rPr>
          <w:rFonts w:hint="default" w:ascii="Times New Roman" w:hAnsi="Times New Roman"/>
          <w:sz w:val="32"/>
          <w:szCs w:val="32"/>
          <w:highlight w:val="none"/>
          <w:u w:val="single"/>
        </w:rPr>
        <w:t>我区根据省、市绩效目标分解情况，加强与上级部门沟通，明确项目绩效目标，实施过程中，根据实际情况，及时调整绩效目标。对实施的项目开展重点监控，通过开展座谈、了解项目进度及实施情况，到项目现场开展实地检查走访，进一步增进水利工程管理部门预算绩效管理工作的主体责任意识，提高绩效监控工作整体水平。不定期对项目执行单位进度情况督导检查，对检查过程中发现的问题及时督促整改，确保项目按时保质完成。项目实施过程中严格按照相关资金管理规定，切实加强对资金的监督和管理，确保专款专用。根据省市的绩效评价的相关部署，积极组织人员参加</w:t>
      </w:r>
      <w:r>
        <w:rPr>
          <w:rFonts w:hint="default" w:ascii="Times New Roman" w:hAnsi="Times New Roman" w:cs="Times New Roman"/>
          <w:sz w:val="32"/>
          <w:highlight w:val="none"/>
          <w:u w:val="single"/>
        </w:rPr>
        <w:t>2024年度水利发展资金绩效评价工作培训</w:t>
      </w:r>
      <w:r>
        <w:rPr>
          <w:rFonts w:hint="default" w:ascii="Times New Roman" w:hAnsi="Times New Roman"/>
          <w:sz w:val="32"/>
          <w:szCs w:val="32"/>
          <w:highlight w:val="none"/>
          <w:u w:val="single"/>
        </w:rPr>
        <w:t>会议，绩效评价工作填报严格按照中央、省的绩效评价要求保质、报量、按时完成。项目管理严格按照工程建设管理“四制”要求进行。</w:t>
      </w:r>
    </w:p>
    <w:p w14:paraId="47BF9DBD">
      <w:pPr>
        <w:pStyle w:val="4"/>
        <w:keepNext/>
        <w:keepLines/>
        <w:pageBreakBefore w:val="0"/>
        <w:widowControl/>
        <w:kinsoku/>
        <w:wordWrap/>
        <w:overflowPunct/>
        <w:topLinePunct w:val="0"/>
        <w:autoSpaceDE/>
        <w:autoSpaceDN/>
        <w:bidi w:val="0"/>
        <w:adjustRightInd/>
        <w:snapToGrid/>
        <w:spacing w:line="360" w:lineRule="auto"/>
        <w:ind w:firstLine="643"/>
        <w:textAlignment w:val="auto"/>
        <w:rPr>
          <w:rFonts w:hint="default" w:ascii="Times New Roman" w:hAnsi="Times New Roman" w:eastAsia="楷体_GB2312" w:cs="Times New Roman"/>
          <w:b/>
          <w:bCs w:val="0"/>
          <w:sz w:val="32"/>
          <w:highlight w:val="none"/>
        </w:rPr>
      </w:pPr>
      <w:r>
        <w:rPr>
          <w:rFonts w:hint="default" w:ascii="Times New Roman" w:hAnsi="Times New Roman" w:eastAsia="楷体_GB2312" w:cs="Times New Roman"/>
          <w:b/>
          <w:bCs w:val="0"/>
          <w:sz w:val="32"/>
          <w:highlight w:val="none"/>
        </w:rPr>
        <w:t>（</w:t>
      </w:r>
      <w:r>
        <w:rPr>
          <w:rFonts w:hint="eastAsia" w:eastAsia="楷体_GB2312" w:cs="Times New Roman"/>
          <w:b/>
          <w:bCs w:val="0"/>
          <w:sz w:val="32"/>
          <w:highlight w:val="none"/>
          <w:lang w:val="en-US" w:eastAsia="zh-CN"/>
        </w:rPr>
        <w:t>四</w:t>
      </w:r>
      <w:r>
        <w:rPr>
          <w:rFonts w:hint="default" w:ascii="Times New Roman" w:hAnsi="Times New Roman" w:eastAsia="楷体_GB2312" w:cs="Times New Roman"/>
          <w:b/>
          <w:bCs w:val="0"/>
          <w:sz w:val="32"/>
          <w:highlight w:val="none"/>
        </w:rPr>
        <w:t>）产出指标完成情况分析</w:t>
      </w:r>
    </w:p>
    <w:p w14:paraId="06740AB6">
      <w:pPr>
        <w:keepNext w:val="0"/>
        <w:keepLines w:val="0"/>
        <w:pageBreakBefore w:val="0"/>
        <w:widowControl w:val="0"/>
        <w:kinsoku/>
        <w:wordWrap/>
        <w:overflowPunct/>
        <w:topLinePunct w:val="0"/>
        <w:autoSpaceDE/>
        <w:autoSpaceDN/>
        <w:bidi w:val="0"/>
        <w:adjustRightInd/>
        <w:snapToGrid/>
        <w:spacing w:line="360" w:lineRule="auto"/>
        <w:ind w:firstLine="640"/>
        <w:textAlignment w:val="auto"/>
        <w:outlineLvl w:val="2"/>
        <w:rPr>
          <w:rFonts w:hint="default" w:ascii="Times New Roman" w:hAnsi="Times New Roman" w:cs="Times New Roman"/>
          <w:b/>
          <w:bCs/>
          <w:sz w:val="32"/>
          <w:szCs w:val="32"/>
          <w:highlight w:val="none"/>
        </w:rPr>
      </w:pPr>
      <w:r>
        <w:rPr>
          <w:rFonts w:hint="default" w:ascii="Times New Roman" w:hAnsi="Times New Roman" w:cs="Times New Roman"/>
          <w:b/>
          <w:bCs/>
          <w:sz w:val="32"/>
          <w:szCs w:val="32"/>
          <w:highlight w:val="none"/>
        </w:rPr>
        <w:t>1.项目数量指标</w:t>
      </w:r>
    </w:p>
    <w:p w14:paraId="765F6D19">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0" w:leftChars="0" w:firstLine="640"/>
        <w:textAlignment w:val="auto"/>
        <w:outlineLvl w:val="3"/>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总体情况</w:t>
      </w:r>
    </w:p>
    <w:p w14:paraId="448B22DA">
      <w:pPr>
        <w:ind w:firstLine="640"/>
        <w:rPr>
          <w:rFonts w:hint="default" w:ascii="Times New Roman" w:hAnsi="Times New Roman" w:eastAsia="仿宋_GB2312"/>
          <w:color w:val="auto"/>
          <w:kern w:val="2"/>
          <w:sz w:val="32"/>
          <w:szCs w:val="22"/>
          <w:highlight w:val="none"/>
        </w:rPr>
      </w:pPr>
      <w:r>
        <w:rPr>
          <w:rFonts w:hint="default" w:ascii="Times New Roman" w:hAnsi="Times New Roman" w:eastAsia="仿宋_GB2312"/>
          <w:color w:val="auto"/>
          <w:kern w:val="2"/>
          <w:sz w:val="32"/>
          <w:szCs w:val="22"/>
          <w:highlight w:val="none"/>
        </w:rPr>
        <w:t>202</w:t>
      </w:r>
      <w:r>
        <w:rPr>
          <w:rFonts w:hint="eastAsia"/>
          <w:color w:val="auto"/>
          <w:kern w:val="2"/>
          <w:sz w:val="32"/>
          <w:szCs w:val="22"/>
          <w:highlight w:val="none"/>
          <w:lang w:val="en-US" w:eastAsia="zh-CN"/>
        </w:rPr>
        <w:t>4</w:t>
      </w:r>
      <w:r>
        <w:rPr>
          <w:rFonts w:ascii="Times New Roman" w:hAnsi="Times New Roman" w:eastAsia="仿宋_GB2312"/>
          <w:color w:val="auto"/>
          <w:kern w:val="2"/>
          <w:sz w:val="32"/>
          <w:szCs w:val="22"/>
          <w:highlight w:val="none"/>
        </w:rPr>
        <w:t>年度，</w:t>
      </w:r>
      <w:r>
        <w:rPr>
          <w:rFonts w:hint="eastAsia"/>
          <w:color w:val="auto"/>
          <w:kern w:val="2"/>
          <w:sz w:val="32"/>
          <w:szCs w:val="32"/>
          <w:highlight w:val="none"/>
          <w:u w:val="single"/>
          <w:lang w:eastAsia="zh-CN"/>
        </w:rPr>
        <w:t>韶关市曲江区</w:t>
      </w:r>
      <w:r>
        <w:rPr>
          <w:rFonts w:ascii="Times New Roman" w:hAnsi="Times New Roman" w:eastAsia="仿宋_GB2312"/>
          <w:color w:val="auto"/>
          <w:kern w:val="2"/>
          <w:sz w:val="32"/>
          <w:szCs w:val="32"/>
          <w:highlight w:val="none"/>
          <w:u w:val="none"/>
        </w:rPr>
        <w:t>水利发展资金数量指标为</w:t>
      </w:r>
      <w:r>
        <w:rPr>
          <w:rFonts w:ascii="Times New Roman" w:hAnsi="Times New Roman" w:eastAsia="仿宋_GB2312"/>
          <w:color w:val="auto"/>
          <w:kern w:val="2"/>
          <w:sz w:val="32"/>
          <w:szCs w:val="22"/>
          <w:highlight w:val="none"/>
        </w:rPr>
        <w:t>：</w:t>
      </w:r>
      <w:r>
        <w:rPr>
          <w:rFonts w:hint="eastAsia" w:ascii="Times New Roman" w:hAnsi="Times New Roman" w:eastAsia="仿宋_GB2312"/>
          <w:color w:val="auto"/>
          <w:kern w:val="2"/>
          <w:sz w:val="32"/>
          <w:szCs w:val="22"/>
          <w:highlight w:val="none"/>
        </w:rPr>
        <w:t>小型水库工程维修养护座数14座、小型水库白蚁等害堤动物日常检查座数30座、堤防白蚁等害堤动物日常检查长度33.01公里、农业水价综合改革面积3.92万亩。</w:t>
      </w:r>
    </w:p>
    <w:p w14:paraId="0440E389">
      <w:pPr>
        <w:ind w:firstLine="640"/>
        <w:rPr>
          <w:rFonts w:ascii="Times New Roman" w:hAnsi="Times New Roman" w:eastAsia="仿宋_GB2312"/>
          <w:color w:val="auto"/>
          <w:kern w:val="2"/>
          <w:sz w:val="32"/>
          <w:highlight w:val="none"/>
        </w:rPr>
      </w:pPr>
      <w:r>
        <w:rPr>
          <w:rFonts w:ascii="Times New Roman" w:hAnsi="Times New Roman" w:eastAsia="仿宋_GB2312"/>
          <w:sz w:val="32"/>
          <w:highlight w:val="none"/>
        </w:rPr>
        <w:t>截至202</w:t>
      </w:r>
      <w:r>
        <w:rPr>
          <w:rFonts w:hint="eastAsia" w:ascii="Times New Roman" w:hAnsi="Times New Roman" w:eastAsia="仿宋_GB2312"/>
          <w:sz w:val="32"/>
          <w:highlight w:val="none"/>
          <w:lang w:val="en-US" w:eastAsia="zh-CN"/>
        </w:rPr>
        <w:t>5</w:t>
      </w:r>
      <w:r>
        <w:rPr>
          <w:rFonts w:ascii="Times New Roman" w:hAnsi="Times New Roman" w:eastAsia="仿宋_GB2312"/>
          <w:sz w:val="32"/>
          <w:highlight w:val="none"/>
        </w:rPr>
        <w:t>年6月底，</w:t>
      </w:r>
      <w:r>
        <w:rPr>
          <w:rFonts w:hint="eastAsia" w:ascii="Times New Roman" w:hAnsi="Times New Roman" w:eastAsia="仿宋_GB2312"/>
          <w:sz w:val="32"/>
          <w:highlight w:val="none"/>
        </w:rPr>
        <w:t>数量指标</w:t>
      </w:r>
      <w:r>
        <w:rPr>
          <w:rFonts w:hint="eastAsia" w:ascii="Times New Roman" w:hAnsi="Times New Roman" w:eastAsia="仿宋_GB2312" w:cs="Times New Roman"/>
          <w:sz w:val="32"/>
          <w:highlight w:val="none"/>
          <w:lang w:val="en-US" w:eastAsia="zh-CN"/>
        </w:rPr>
        <w:t>完成情况为：小型水库工程维修养护座数14座、小型水库白蚁等害堤动物日常检查座数30座、堤防白蚁等害堤动物日常检查长度33.14公里</w:t>
      </w:r>
      <w:r>
        <w:rPr>
          <w:rFonts w:hint="eastAsia" w:cs="Times New Roman"/>
          <w:sz w:val="32"/>
          <w:highlight w:val="none"/>
          <w:lang w:val="en-US" w:eastAsia="zh-CN"/>
        </w:rPr>
        <w:t>。</w:t>
      </w:r>
      <w:r>
        <w:rPr>
          <w:rFonts w:hint="eastAsia" w:ascii="仿宋_GB2312" w:hAnsi="仿宋_GB2312" w:cs="仿宋_GB2312"/>
          <w:sz w:val="32"/>
          <w:szCs w:val="32"/>
        </w:rPr>
        <w:t>根据《广东省财政厅关于进一步优化完善农业水价综合改革精准补贴和节水奖励机制有关工作的通知》（粤财农〔</w:t>
      </w:r>
      <w:r>
        <w:rPr>
          <w:rFonts w:ascii="仿宋_GB2312" w:hAnsi="仿宋_GB2312" w:cs="仿宋_GB2312"/>
          <w:sz w:val="32"/>
          <w:szCs w:val="32"/>
        </w:rPr>
        <w:t>2023</w:t>
      </w:r>
      <w:r>
        <w:rPr>
          <w:rFonts w:hint="eastAsia" w:ascii="仿宋_GB2312" w:hAnsi="仿宋_GB2312" w:cs="仿宋_GB2312"/>
          <w:sz w:val="32"/>
          <w:szCs w:val="32"/>
        </w:rPr>
        <w:t>〕</w:t>
      </w:r>
      <w:r>
        <w:rPr>
          <w:rFonts w:ascii="仿宋_GB2312" w:hAnsi="仿宋_GB2312" w:cs="仿宋_GB2312"/>
          <w:sz w:val="32"/>
          <w:szCs w:val="32"/>
        </w:rPr>
        <w:t>137</w:t>
      </w:r>
      <w:r>
        <w:rPr>
          <w:rFonts w:hint="eastAsia" w:ascii="仿宋_GB2312" w:hAnsi="仿宋_GB2312" w:cs="仿宋_GB2312"/>
          <w:sz w:val="32"/>
          <w:szCs w:val="32"/>
        </w:rPr>
        <w:t>号）精神，将</w:t>
      </w:r>
      <w:r>
        <w:rPr>
          <w:rFonts w:hint="default" w:ascii="Times New Roman" w:hAnsi="Times New Roman" w:eastAsia="仿宋_GB2312"/>
          <w:color w:val="auto"/>
          <w:kern w:val="2"/>
          <w:sz w:val="32"/>
          <w:highlight w:val="none"/>
          <w:u w:val="none"/>
        </w:rPr>
        <w:t>2024年曲江区农业水价综合改革</w:t>
      </w:r>
      <w:r>
        <w:rPr>
          <w:rFonts w:hint="eastAsia" w:ascii="仿宋_GB2312" w:hAnsi="仿宋_GB2312" w:cs="仿宋_GB2312"/>
          <w:sz w:val="32"/>
          <w:szCs w:val="32"/>
          <w:lang w:val="en-US" w:eastAsia="zh-CN"/>
        </w:rPr>
        <w:t>24</w:t>
      </w:r>
      <w:r>
        <w:rPr>
          <w:rFonts w:hint="eastAsia" w:ascii="仿宋_GB2312" w:hAnsi="仿宋_GB2312" w:cs="仿宋_GB2312"/>
          <w:sz w:val="32"/>
          <w:szCs w:val="32"/>
        </w:rPr>
        <w:t>万元精准补贴</w:t>
      </w:r>
      <w:r>
        <w:rPr>
          <w:rFonts w:hint="eastAsia" w:ascii="仿宋_GB2312" w:hAnsi="仿宋_GB2312" w:cs="仿宋_GB2312"/>
          <w:sz w:val="32"/>
          <w:szCs w:val="32"/>
          <w:lang w:eastAsia="zh-CN"/>
        </w:rPr>
        <w:t>作</w:t>
      </w:r>
      <w:r>
        <w:rPr>
          <w:rFonts w:hint="eastAsia" w:ascii="仿宋_GB2312" w:hAnsi="仿宋_GB2312" w:cs="仿宋_GB2312"/>
          <w:sz w:val="32"/>
          <w:szCs w:val="32"/>
          <w:highlight w:val="none"/>
        </w:rPr>
        <w:t>为水费</w:t>
      </w:r>
      <w:r>
        <w:rPr>
          <w:rFonts w:hint="eastAsia" w:ascii="仿宋_GB2312" w:hAnsi="仿宋_GB2312" w:cs="仿宋_GB2312"/>
          <w:sz w:val="32"/>
          <w:szCs w:val="32"/>
          <w:highlight w:val="none"/>
          <w:lang w:eastAsia="zh-CN"/>
        </w:rPr>
        <w:t>用作小坑</w:t>
      </w:r>
      <w:r>
        <w:rPr>
          <w:rFonts w:hint="eastAsia" w:ascii="仿宋_GB2312" w:hAnsi="仿宋_GB2312" w:cs="仿宋_GB2312"/>
          <w:sz w:val="32"/>
          <w:szCs w:val="32"/>
          <w:highlight w:val="none"/>
        </w:rPr>
        <w:t>水库灌区</w:t>
      </w:r>
      <w:r>
        <w:rPr>
          <w:rFonts w:hint="eastAsia" w:ascii="仿宋_GB2312" w:hAnsi="仿宋_GB2312" w:cs="仿宋_GB2312"/>
          <w:sz w:val="32"/>
          <w:szCs w:val="32"/>
          <w:highlight w:val="none"/>
          <w:lang w:eastAsia="zh-CN"/>
        </w:rPr>
        <w:t>维护</w:t>
      </w:r>
      <w:r>
        <w:rPr>
          <w:rFonts w:hint="eastAsia" w:ascii="仿宋_GB2312" w:hAnsi="仿宋_GB2312" w:cs="仿宋_GB2312"/>
          <w:sz w:val="32"/>
          <w:szCs w:val="32"/>
          <w:highlight w:val="none"/>
        </w:rPr>
        <w:t>工程费用，因</w:t>
      </w:r>
      <w:r>
        <w:rPr>
          <w:rFonts w:hint="eastAsia" w:ascii="仿宋_GB2312" w:hAnsi="仿宋_GB2312" w:cs="仿宋_GB2312"/>
          <w:sz w:val="32"/>
          <w:szCs w:val="32"/>
        </w:rPr>
        <w:t>此</w:t>
      </w:r>
      <w:r>
        <w:rPr>
          <w:rFonts w:hint="default" w:ascii="Times New Roman" w:hAnsi="Times New Roman" w:eastAsia="仿宋_GB2312"/>
          <w:color w:val="auto"/>
          <w:kern w:val="2"/>
          <w:sz w:val="32"/>
          <w:highlight w:val="none"/>
          <w:u w:val="none"/>
        </w:rPr>
        <w:t>2024年曲江区农业水价综合改革</w:t>
      </w:r>
      <w:r>
        <w:rPr>
          <w:rFonts w:hint="eastAsia" w:ascii="仿宋_GB2312" w:hAnsi="仿宋_GB2312" w:cs="仿宋_GB2312"/>
          <w:sz w:val="32"/>
          <w:szCs w:val="32"/>
        </w:rPr>
        <w:t>项目不涉及市级下达“</w:t>
      </w:r>
      <w:r>
        <w:rPr>
          <w:rFonts w:hint="eastAsia" w:ascii="Times New Roman" w:hAnsi="Times New Roman" w:eastAsia="仿宋_GB2312" w:cs="Times New Roman"/>
          <w:sz w:val="32"/>
          <w:highlight w:val="none"/>
          <w:lang w:val="en-US" w:eastAsia="zh-CN"/>
        </w:rPr>
        <w:t>农业水价综合改革面积</w:t>
      </w:r>
      <w:r>
        <w:rPr>
          <w:rFonts w:hint="eastAsia" w:ascii="仿宋_GB2312" w:hAnsi="仿宋_GB2312" w:cs="仿宋_GB2312"/>
          <w:sz w:val="32"/>
          <w:szCs w:val="32"/>
        </w:rPr>
        <w:t>”</w:t>
      </w:r>
      <w:r>
        <w:rPr>
          <w:rFonts w:hint="eastAsia" w:ascii="仿宋_GB2312" w:hAnsi="仿宋_GB2312" w:cs="仿宋_GB2312"/>
          <w:sz w:val="32"/>
          <w:szCs w:val="32"/>
          <w:lang w:val="en-US" w:eastAsia="zh-CN"/>
        </w:rPr>
        <w:t>3.92</w:t>
      </w:r>
      <w:r>
        <w:rPr>
          <w:rFonts w:hint="eastAsia" w:ascii="仿宋_GB2312" w:hAnsi="仿宋_GB2312" w:cs="仿宋_GB2312"/>
          <w:sz w:val="32"/>
          <w:szCs w:val="32"/>
        </w:rPr>
        <w:t>万亩的绩效指标。</w:t>
      </w:r>
      <w:r>
        <w:rPr>
          <w:rFonts w:hint="eastAsia" w:cs="Times New Roman"/>
          <w:sz w:val="32"/>
          <w:highlight w:val="none"/>
          <w:lang w:val="en-US" w:eastAsia="zh-CN"/>
        </w:rPr>
        <w:t>总体来看</w:t>
      </w:r>
      <w:r>
        <w:rPr>
          <w:rFonts w:hint="eastAsia" w:ascii="Times New Roman" w:hAnsi="Times New Roman" w:eastAsia="仿宋_GB2312" w:cs="Times New Roman"/>
          <w:sz w:val="32"/>
          <w:highlight w:val="none"/>
          <w:lang w:val="en-US" w:eastAsia="zh-CN"/>
        </w:rPr>
        <w:t>，</w:t>
      </w:r>
      <w:r>
        <w:rPr>
          <w:rFonts w:ascii="Times New Roman" w:hAnsi="Times New Roman" w:eastAsia="仿宋_GB2312"/>
          <w:color w:val="auto"/>
          <w:kern w:val="2"/>
          <w:sz w:val="32"/>
          <w:highlight w:val="none"/>
          <w:u w:val="single"/>
        </w:rPr>
        <w:t>有</w:t>
      </w:r>
      <w:r>
        <w:rPr>
          <w:rFonts w:ascii="Times New Roman" w:hAnsi="Times New Roman" w:eastAsia="仿宋_GB2312"/>
          <w:color w:val="auto"/>
          <w:kern w:val="2"/>
          <w:sz w:val="32"/>
          <w:highlight w:val="none"/>
        </w:rPr>
        <w:t>达到年度目标值。</w:t>
      </w:r>
    </w:p>
    <w:p w14:paraId="111EB46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outlineLvl w:val="3"/>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w:t>
      </w:r>
      <w:r>
        <w:rPr>
          <w:rFonts w:hint="eastAsia" w:cs="Times New Roman"/>
          <w:sz w:val="32"/>
          <w:szCs w:val="32"/>
          <w:highlight w:val="none"/>
          <w:lang w:val="en-US" w:eastAsia="zh-CN"/>
        </w:rPr>
        <w:t>2</w:t>
      </w:r>
      <w:r>
        <w:rPr>
          <w:rFonts w:hint="default" w:ascii="Times New Roman" w:hAnsi="Times New Roman" w:cs="Times New Roman"/>
          <w:sz w:val="32"/>
          <w:szCs w:val="32"/>
          <w:highlight w:val="none"/>
        </w:rPr>
        <w:t>）白蚁防治</w:t>
      </w:r>
    </w:p>
    <w:p w14:paraId="31C4B638">
      <w:pPr>
        <w:pStyle w:val="2"/>
        <w:keepNext w:val="0"/>
        <w:keepLines w:val="0"/>
        <w:pageBreakBefore w:val="0"/>
        <w:widowControl/>
        <w:kinsoku/>
        <w:wordWrap/>
        <w:overflowPunct/>
        <w:topLinePunct w:val="0"/>
        <w:autoSpaceDE/>
        <w:autoSpaceDN/>
        <w:bidi w:val="0"/>
        <w:adjustRightInd/>
        <w:snapToGrid/>
        <w:spacing w:after="0"/>
        <w:textAlignment w:val="auto"/>
        <w:rPr>
          <w:rFonts w:hint="default" w:ascii="Times New Roman" w:hAnsi="Times New Roman" w:cs="Times New Roman"/>
          <w:sz w:val="32"/>
          <w:szCs w:val="32"/>
          <w:highlight w:val="none"/>
          <w:lang w:val="en-US"/>
        </w:rPr>
      </w:pPr>
      <w:r>
        <w:rPr>
          <w:rFonts w:hint="default" w:ascii="Times New Roman" w:hAnsi="Times New Roman" w:eastAsia="仿宋_GB2312"/>
          <w:color w:val="auto"/>
          <w:kern w:val="2"/>
          <w:sz w:val="32"/>
          <w:szCs w:val="22"/>
          <w:highlight w:val="none"/>
        </w:rPr>
        <w:t>202</w:t>
      </w:r>
      <w:r>
        <w:rPr>
          <w:rFonts w:hint="eastAsia"/>
          <w:color w:val="auto"/>
          <w:kern w:val="2"/>
          <w:sz w:val="32"/>
          <w:szCs w:val="22"/>
          <w:highlight w:val="none"/>
          <w:lang w:val="en-US" w:eastAsia="zh-CN"/>
        </w:rPr>
        <w:t>4</w:t>
      </w:r>
      <w:r>
        <w:rPr>
          <w:rFonts w:ascii="Times New Roman" w:hAnsi="Times New Roman" w:eastAsia="仿宋_GB2312"/>
          <w:color w:val="auto"/>
          <w:kern w:val="2"/>
          <w:sz w:val="32"/>
          <w:szCs w:val="22"/>
          <w:highlight w:val="none"/>
        </w:rPr>
        <w:t>年度，</w:t>
      </w:r>
      <w:r>
        <w:rPr>
          <w:rFonts w:hint="eastAsia"/>
          <w:color w:val="auto"/>
          <w:kern w:val="2"/>
          <w:sz w:val="32"/>
          <w:szCs w:val="32"/>
          <w:highlight w:val="none"/>
          <w:u w:val="single"/>
          <w:lang w:eastAsia="zh-CN"/>
        </w:rPr>
        <w:t>韶关市曲江区</w:t>
      </w:r>
      <w:r>
        <w:rPr>
          <w:rFonts w:ascii="Times New Roman" w:hAnsi="Times New Roman" w:eastAsia="仿宋_GB2312"/>
          <w:color w:val="auto"/>
          <w:kern w:val="2"/>
          <w:sz w:val="32"/>
          <w:szCs w:val="32"/>
          <w:highlight w:val="none"/>
          <w:u w:val="none"/>
        </w:rPr>
        <w:t>水利发展资金</w:t>
      </w:r>
      <w:r>
        <w:rPr>
          <w:rFonts w:hint="default" w:ascii="Times New Roman" w:hAnsi="Times New Roman" w:cs="Times New Roman"/>
          <w:sz w:val="32"/>
          <w:szCs w:val="32"/>
          <w:highlight w:val="none"/>
        </w:rPr>
        <w:t>白蚁防治</w:t>
      </w:r>
      <w:r>
        <w:rPr>
          <w:rFonts w:hint="eastAsia" w:ascii="Times New Roman" w:hAnsi="Times New Roman"/>
          <w:color w:val="auto"/>
          <w:kern w:val="2"/>
          <w:sz w:val="32"/>
          <w:szCs w:val="32"/>
          <w:highlight w:val="none"/>
          <w:u w:val="none"/>
          <w:lang w:val="en-US" w:eastAsia="zh-CN"/>
        </w:rPr>
        <w:t>方向的</w:t>
      </w:r>
      <w:r>
        <w:rPr>
          <w:rFonts w:ascii="Times New Roman" w:hAnsi="Times New Roman" w:eastAsia="仿宋_GB2312"/>
          <w:color w:val="auto"/>
          <w:kern w:val="2"/>
          <w:sz w:val="32"/>
          <w:szCs w:val="32"/>
          <w:highlight w:val="none"/>
          <w:u w:val="none"/>
        </w:rPr>
        <w:t>数量指标为：</w:t>
      </w:r>
      <w:r>
        <w:rPr>
          <w:rFonts w:hint="eastAsia" w:ascii="Times New Roman" w:hAnsi="Times New Roman" w:cs="Times New Roman"/>
          <w:sz w:val="32"/>
          <w:szCs w:val="32"/>
          <w:highlight w:val="none"/>
        </w:rPr>
        <w:t>小型水库白蚁等害堤动物日常检查座数30座、堤防白蚁等害堤动物日常检查长度33.01公里。</w:t>
      </w:r>
    </w:p>
    <w:p w14:paraId="2C727684">
      <w:pPr>
        <w:pStyle w:val="2"/>
        <w:keepNext w:val="0"/>
        <w:keepLines w:val="0"/>
        <w:pageBreakBefore w:val="0"/>
        <w:widowControl/>
        <w:kinsoku/>
        <w:wordWrap/>
        <w:overflowPunct/>
        <w:topLinePunct w:val="0"/>
        <w:autoSpaceDE/>
        <w:autoSpaceDN/>
        <w:bidi w:val="0"/>
        <w:adjustRightInd/>
        <w:snapToGrid/>
        <w:spacing w:after="0"/>
        <w:textAlignment w:val="auto"/>
        <w:rPr>
          <w:rFonts w:hint="default" w:ascii="Times New Roman" w:hAnsi="Times New Roman" w:cs="Times New Roman"/>
          <w:sz w:val="32"/>
          <w:szCs w:val="32"/>
          <w:highlight w:val="none"/>
          <w:lang w:val="en-US"/>
        </w:rPr>
      </w:pPr>
      <w:r>
        <w:rPr>
          <w:rFonts w:ascii="Times New Roman" w:hAnsi="Times New Roman" w:eastAsia="仿宋_GB2312"/>
          <w:sz w:val="32"/>
          <w:highlight w:val="none"/>
        </w:rPr>
        <w:t>截至202</w:t>
      </w:r>
      <w:r>
        <w:rPr>
          <w:rFonts w:hint="eastAsia"/>
          <w:sz w:val="32"/>
          <w:highlight w:val="none"/>
          <w:lang w:val="en-US" w:eastAsia="zh-CN"/>
        </w:rPr>
        <w:t>5</w:t>
      </w:r>
      <w:r>
        <w:rPr>
          <w:rFonts w:ascii="Times New Roman" w:hAnsi="Times New Roman" w:eastAsia="仿宋_GB2312"/>
          <w:sz w:val="32"/>
          <w:highlight w:val="none"/>
        </w:rPr>
        <w:t>年6月底，</w:t>
      </w:r>
      <w:r>
        <w:rPr>
          <w:rFonts w:hint="default" w:ascii="Times New Roman" w:hAnsi="Times New Roman" w:cs="Times New Roman"/>
          <w:sz w:val="32"/>
          <w:szCs w:val="32"/>
          <w:highlight w:val="none"/>
        </w:rPr>
        <w:t>白蚁防治</w:t>
      </w:r>
      <w:r>
        <w:rPr>
          <w:rFonts w:hint="eastAsia" w:ascii="Times New Roman" w:hAnsi="Times New Roman" w:eastAsia="仿宋_GB2312"/>
          <w:sz w:val="32"/>
          <w:highlight w:val="none"/>
        </w:rPr>
        <w:t>方向的数量指标</w:t>
      </w:r>
      <w:r>
        <w:rPr>
          <w:rFonts w:hint="eastAsia" w:ascii="Times New Roman" w:hAnsi="Times New Roman"/>
          <w:sz w:val="32"/>
          <w:highlight w:val="none"/>
          <w:lang w:val="en-US" w:eastAsia="zh-CN"/>
        </w:rPr>
        <w:t>完成情况为：</w:t>
      </w:r>
      <w:r>
        <w:rPr>
          <w:rFonts w:hint="eastAsia" w:ascii="Times New Roman" w:hAnsi="Times New Roman" w:cs="Times New Roman"/>
          <w:sz w:val="32"/>
          <w:szCs w:val="32"/>
          <w:highlight w:val="none"/>
          <w:lang w:val="en-US" w:eastAsia="zh-CN"/>
        </w:rPr>
        <w:t>小型水库白蚁等害堤动物日常检查座数30座、堤防白蚁等害堤动物日常检查长度33.14公里。</w:t>
      </w:r>
    </w:p>
    <w:p w14:paraId="70EF746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outlineLvl w:val="3"/>
        <w:rPr>
          <w:rFonts w:hint="eastAsia"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w:t>
      </w:r>
      <w:r>
        <w:rPr>
          <w:rFonts w:hint="eastAsia" w:cs="Times New Roman"/>
          <w:sz w:val="32"/>
          <w:szCs w:val="32"/>
          <w:highlight w:val="none"/>
          <w:lang w:val="en-US" w:eastAsia="zh-CN"/>
        </w:rPr>
        <w:t>3</w:t>
      </w:r>
      <w:r>
        <w:rPr>
          <w:rFonts w:hint="eastAsia" w:ascii="Times New Roman" w:hAnsi="Times New Roman" w:cs="Times New Roman"/>
          <w:sz w:val="32"/>
          <w:szCs w:val="32"/>
          <w:highlight w:val="none"/>
          <w:lang w:val="en-US" w:eastAsia="zh-CN"/>
        </w:rPr>
        <w:t>）农业水价综合改革</w:t>
      </w:r>
    </w:p>
    <w:p w14:paraId="1CB000AF">
      <w:pPr>
        <w:pStyle w:val="2"/>
        <w:keepNext w:val="0"/>
        <w:keepLines w:val="0"/>
        <w:pageBreakBefore w:val="0"/>
        <w:widowControl/>
        <w:kinsoku/>
        <w:wordWrap/>
        <w:overflowPunct/>
        <w:topLinePunct w:val="0"/>
        <w:autoSpaceDE/>
        <w:autoSpaceDN/>
        <w:bidi w:val="0"/>
        <w:adjustRightInd/>
        <w:snapToGrid/>
        <w:spacing w:after="0"/>
        <w:textAlignment w:val="auto"/>
        <w:rPr>
          <w:rFonts w:hint="eastAsia" w:ascii="Times New Roman" w:hAnsi="Times New Roman" w:cs="Times New Roman"/>
          <w:sz w:val="32"/>
          <w:szCs w:val="32"/>
          <w:highlight w:val="none"/>
          <w:lang w:val="en-US" w:eastAsia="zh-CN"/>
        </w:rPr>
      </w:pPr>
      <w:r>
        <w:rPr>
          <w:rFonts w:hint="default" w:ascii="Times New Roman" w:hAnsi="Times New Roman" w:eastAsia="仿宋_GB2312"/>
          <w:color w:val="auto"/>
          <w:kern w:val="2"/>
          <w:sz w:val="32"/>
          <w:szCs w:val="22"/>
          <w:highlight w:val="none"/>
        </w:rPr>
        <w:t>202</w:t>
      </w:r>
      <w:r>
        <w:rPr>
          <w:rFonts w:hint="eastAsia"/>
          <w:color w:val="auto"/>
          <w:kern w:val="2"/>
          <w:sz w:val="32"/>
          <w:szCs w:val="22"/>
          <w:highlight w:val="none"/>
          <w:lang w:val="en-US" w:eastAsia="zh-CN"/>
        </w:rPr>
        <w:t>4</w:t>
      </w:r>
      <w:r>
        <w:rPr>
          <w:rFonts w:ascii="Times New Roman" w:hAnsi="Times New Roman" w:eastAsia="仿宋_GB2312"/>
          <w:color w:val="auto"/>
          <w:kern w:val="2"/>
          <w:sz w:val="32"/>
          <w:szCs w:val="22"/>
          <w:highlight w:val="none"/>
        </w:rPr>
        <w:t>年度，</w:t>
      </w:r>
      <w:r>
        <w:rPr>
          <w:rFonts w:hint="eastAsia"/>
          <w:color w:val="auto"/>
          <w:kern w:val="2"/>
          <w:sz w:val="32"/>
          <w:szCs w:val="32"/>
          <w:highlight w:val="none"/>
          <w:u w:val="single"/>
          <w:lang w:eastAsia="zh-CN"/>
        </w:rPr>
        <w:t>韶关市曲江区</w:t>
      </w:r>
      <w:r>
        <w:rPr>
          <w:rFonts w:ascii="Times New Roman" w:hAnsi="Times New Roman" w:eastAsia="仿宋_GB2312"/>
          <w:color w:val="auto"/>
          <w:kern w:val="2"/>
          <w:sz w:val="32"/>
          <w:szCs w:val="32"/>
          <w:highlight w:val="none"/>
          <w:u w:val="none"/>
        </w:rPr>
        <w:t>水利发展资金</w:t>
      </w:r>
      <w:r>
        <w:rPr>
          <w:rFonts w:hint="eastAsia" w:ascii="Times New Roman" w:hAnsi="Times New Roman" w:cs="Times New Roman"/>
          <w:sz w:val="32"/>
          <w:szCs w:val="32"/>
          <w:highlight w:val="none"/>
          <w:lang w:val="en-US" w:eastAsia="zh-CN"/>
        </w:rPr>
        <w:t>农业水价综合改革</w:t>
      </w:r>
      <w:r>
        <w:rPr>
          <w:rFonts w:hint="eastAsia" w:ascii="Times New Roman" w:hAnsi="Times New Roman"/>
          <w:color w:val="auto"/>
          <w:kern w:val="2"/>
          <w:sz w:val="32"/>
          <w:szCs w:val="32"/>
          <w:highlight w:val="none"/>
          <w:u w:val="none"/>
          <w:lang w:val="en-US" w:eastAsia="zh-CN"/>
        </w:rPr>
        <w:t>方向的</w:t>
      </w:r>
      <w:r>
        <w:rPr>
          <w:rFonts w:ascii="Times New Roman" w:hAnsi="Times New Roman" w:eastAsia="仿宋_GB2312"/>
          <w:color w:val="auto"/>
          <w:kern w:val="2"/>
          <w:sz w:val="32"/>
          <w:szCs w:val="32"/>
          <w:highlight w:val="none"/>
          <w:u w:val="none"/>
        </w:rPr>
        <w:t>数量指标为：</w:t>
      </w:r>
      <w:r>
        <w:rPr>
          <w:rFonts w:hint="eastAsia" w:ascii="Times New Roman" w:hAnsi="Times New Roman" w:cs="Times New Roman"/>
          <w:sz w:val="32"/>
          <w:szCs w:val="32"/>
          <w:highlight w:val="none"/>
          <w:lang w:val="en-US" w:eastAsia="zh-CN"/>
        </w:rPr>
        <w:t>农业水价综合改革面积3.92万亩。</w:t>
      </w:r>
    </w:p>
    <w:p w14:paraId="3F522852">
      <w:pPr>
        <w:pStyle w:val="2"/>
        <w:keepNext w:val="0"/>
        <w:keepLines w:val="0"/>
        <w:pageBreakBefore w:val="0"/>
        <w:widowControl/>
        <w:kinsoku/>
        <w:wordWrap/>
        <w:overflowPunct/>
        <w:topLinePunct w:val="0"/>
        <w:autoSpaceDE/>
        <w:autoSpaceDN/>
        <w:bidi w:val="0"/>
        <w:adjustRightInd/>
        <w:snapToGrid/>
        <w:spacing w:after="0"/>
        <w:textAlignment w:val="auto"/>
        <w:rPr>
          <w:rFonts w:hint="eastAsia" w:ascii="Times New Roman" w:hAnsi="Times New Roman" w:cs="Times New Roman"/>
          <w:sz w:val="32"/>
          <w:szCs w:val="32"/>
          <w:highlight w:val="none"/>
          <w:lang w:val="en-US" w:eastAsia="zh-CN"/>
        </w:rPr>
      </w:pPr>
      <w:r>
        <w:rPr>
          <w:rFonts w:ascii="Times New Roman" w:hAnsi="Times New Roman" w:eastAsia="仿宋_GB2312"/>
          <w:sz w:val="32"/>
          <w:highlight w:val="none"/>
        </w:rPr>
        <w:t>截至202</w:t>
      </w:r>
      <w:r>
        <w:rPr>
          <w:rFonts w:hint="eastAsia"/>
          <w:sz w:val="32"/>
          <w:highlight w:val="none"/>
          <w:lang w:val="en-US" w:eastAsia="zh-CN"/>
        </w:rPr>
        <w:t>5</w:t>
      </w:r>
      <w:r>
        <w:rPr>
          <w:rFonts w:ascii="Times New Roman" w:hAnsi="Times New Roman" w:eastAsia="仿宋_GB2312"/>
          <w:sz w:val="32"/>
          <w:highlight w:val="none"/>
        </w:rPr>
        <w:t>年6月底，</w:t>
      </w:r>
      <w:r>
        <w:rPr>
          <w:rFonts w:hint="eastAsia" w:ascii="Times New Roman" w:hAnsi="Times New Roman" w:cs="Times New Roman"/>
          <w:sz w:val="32"/>
          <w:szCs w:val="32"/>
          <w:highlight w:val="none"/>
          <w:lang w:val="en-US" w:eastAsia="zh-CN"/>
        </w:rPr>
        <w:t>农业水价综合改革</w:t>
      </w:r>
      <w:r>
        <w:rPr>
          <w:rFonts w:hint="eastAsia" w:ascii="Times New Roman" w:hAnsi="Times New Roman" w:eastAsia="仿宋_GB2312"/>
          <w:sz w:val="32"/>
          <w:highlight w:val="none"/>
        </w:rPr>
        <w:t>方向的数量指标</w:t>
      </w:r>
      <w:r>
        <w:rPr>
          <w:rFonts w:hint="eastAsia" w:ascii="Times New Roman" w:hAnsi="Times New Roman"/>
          <w:sz w:val="32"/>
          <w:highlight w:val="none"/>
          <w:lang w:val="en-US" w:eastAsia="zh-CN"/>
        </w:rPr>
        <w:t>完成情况为：</w:t>
      </w:r>
      <w:r>
        <w:rPr>
          <w:rFonts w:hint="eastAsia" w:ascii="仿宋_GB2312" w:hAnsi="仿宋_GB2312" w:cs="仿宋_GB2312"/>
          <w:sz w:val="32"/>
          <w:szCs w:val="32"/>
        </w:rPr>
        <w:t>根据《广东省财政厅关于进一步优化完善农业水价综合改革精准补贴和节水奖励机制有关工作的通知》（粤财农〔</w:t>
      </w:r>
      <w:r>
        <w:rPr>
          <w:rFonts w:ascii="仿宋_GB2312" w:hAnsi="仿宋_GB2312" w:cs="仿宋_GB2312"/>
          <w:sz w:val="32"/>
          <w:szCs w:val="32"/>
        </w:rPr>
        <w:t>2023</w:t>
      </w:r>
      <w:r>
        <w:rPr>
          <w:rFonts w:hint="eastAsia" w:ascii="仿宋_GB2312" w:hAnsi="仿宋_GB2312" w:cs="仿宋_GB2312"/>
          <w:sz w:val="32"/>
          <w:szCs w:val="32"/>
        </w:rPr>
        <w:t>〕</w:t>
      </w:r>
      <w:r>
        <w:rPr>
          <w:rFonts w:ascii="仿宋_GB2312" w:hAnsi="仿宋_GB2312" w:cs="仿宋_GB2312"/>
          <w:sz w:val="32"/>
          <w:szCs w:val="32"/>
        </w:rPr>
        <w:t>137</w:t>
      </w:r>
      <w:r>
        <w:rPr>
          <w:rFonts w:hint="eastAsia" w:ascii="仿宋_GB2312" w:hAnsi="仿宋_GB2312" w:cs="仿宋_GB2312"/>
          <w:sz w:val="32"/>
          <w:szCs w:val="32"/>
        </w:rPr>
        <w:t>号）精神，将</w:t>
      </w:r>
      <w:r>
        <w:rPr>
          <w:rFonts w:hint="default" w:ascii="Times New Roman" w:hAnsi="Times New Roman" w:eastAsia="仿宋_GB2312"/>
          <w:color w:val="auto"/>
          <w:kern w:val="2"/>
          <w:sz w:val="32"/>
          <w:highlight w:val="none"/>
          <w:u w:val="none"/>
        </w:rPr>
        <w:t>2024年曲江区农业水价综合改革</w:t>
      </w:r>
      <w:r>
        <w:rPr>
          <w:rFonts w:hint="eastAsia" w:ascii="仿宋_GB2312" w:hAnsi="仿宋_GB2312" w:cs="仿宋_GB2312"/>
          <w:sz w:val="32"/>
          <w:szCs w:val="32"/>
          <w:lang w:val="en-US" w:eastAsia="zh-CN"/>
        </w:rPr>
        <w:t>24</w:t>
      </w:r>
      <w:r>
        <w:rPr>
          <w:rFonts w:hint="eastAsia" w:ascii="仿宋_GB2312" w:hAnsi="仿宋_GB2312" w:cs="仿宋_GB2312"/>
          <w:sz w:val="32"/>
          <w:szCs w:val="32"/>
        </w:rPr>
        <w:t>万元精准补贴</w:t>
      </w:r>
      <w:r>
        <w:rPr>
          <w:rFonts w:hint="eastAsia" w:ascii="仿宋_GB2312" w:hAnsi="仿宋_GB2312" w:cs="仿宋_GB2312"/>
          <w:sz w:val="32"/>
          <w:szCs w:val="32"/>
          <w:highlight w:val="none"/>
          <w:lang w:eastAsia="zh-CN"/>
        </w:rPr>
        <w:t>用作小坑</w:t>
      </w:r>
      <w:r>
        <w:rPr>
          <w:rFonts w:hint="eastAsia" w:ascii="仿宋_GB2312" w:hAnsi="仿宋_GB2312" w:cs="仿宋_GB2312"/>
          <w:sz w:val="32"/>
          <w:szCs w:val="32"/>
          <w:highlight w:val="none"/>
        </w:rPr>
        <w:t>水库灌区</w:t>
      </w:r>
      <w:r>
        <w:rPr>
          <w:rFonts w:hint="eastAsia" w:ascii="仿宋_GB2312" w:hAnsi="仿宋_GB2312" w:cs="仿宋_GB2312"/>
          <w:sz w:val="32"/>
          <w:szCs w:val="32"/>
          <w:highlight w:val="none"/>
          <w:lang w:eastAsia="zh-CN"/>
        </w:rPr>
        <w:t>维护</w:t>
      </w:r>
      <w:r>
        <w:rPr>
          <w:rFonts w:hint="eastAsia" w:ascii="仿宋_GB2312" w:hAnsi="仿宋_GB2312" w:cs="仿宋_GB2312"/>
          <w:sz w:val="32"/>
          <w:szCs w:val="32"/>
          <w:highlight w:val="none"/>
        </w:rPr>
        <w:t>工程费用，因此</w:t>
      </w:r>
      <w:r>
        <w:rPr>
          <w:rFonts w:hint="default" w:ascii="Times New Roman" w:hAnsi="Times New Roman" w:eastAsia="仿宋_GB2312"/>
          <w:color w:val="auto"/>
          <w:kern w:val="2"/>
          <w:sz w:val="32"/>
          <w:highlight w:val="none"/>
          <w:u w:val="none"/>
        </w:rPr>
        <w:t>2024年曲江区农业水价综合改革</w:t>
      </w:r>
      <w:r>
        <w:rPr>
          <w:rFonts w:hint="eastAsia" w:ascii="仿宋_GB2312" w:hAnsi="仿宋_GB2312" w:cs="仿宋_GB2312"/>
          <w:sz w:val="32"/>
          <w:szCs w:val="32"/>
          <w:highlight w:val="none"/>
        </w:rPr>
        <w:t>项目不</w:t>
      </w:r>
      <w:r>
        <w:rPr>
          <w:rFonts w:hint="eastAsia" w:ascii="仿宋_GB2312" w:hAnsi="仿宋_GB2312" w:cs="仿宋_GB2312"/>
          <w:sz w:val="32"/>
          <w:szCs w:val="32"/>
        </w:rPr>
        <w:t>涉及市级下达“</w:t>
      </w:r>
      <w:r>
        <w:rPr>
          <w:rFonts w:hint="eastAsia" w:ascii="Times New Roman" w:hAnsi="Times New Roman" w:eastAsia="仿宋_GB2312" w:cs="Times New Roman"/>
          <w:sz w:val="32"/>
          <w:highlight w:val="none"/>
          <w:lang w:val="en-US" w:eastAsia="zh-CN"/>
        </w:rPr>
        <w:t>农业水价综合改革面积</w:t>
      </w:r>
      <w:r>
        <w:rPr>
          <w:rFonts w:hint="eastAsia" w:ascii="仿宋_GB2312" w:hAnsi="仿宋_GB2312" w:cs="仿宋_GB2312"/>
          <w:sz w:val="32"/>
          <w:szCs w:val="32"/>
        </w:rPr>
        <w:t>”</w:t>
      </w:r>
      <w:r>
        <w:rPr>
          <w:rFonts w:hint="eastAsia" w:ascii="仿宋_GB2312" w:hAnsi="仿宋_GB2312" w:cs="仿宋_GB2312"/>
          <w:sz w:val="32"/>
          <w:szCs w:val="32"/>
          <w:lang w:val="en-US" w:eastAsia="zh-CN"/>
        </w:rPr>
        <w:t>3.92</w:t>
      </w:r>
      <w:r>
        <w:rPr>
          <w:rFonts w:hint="eastAsia" w:ascii="仿宋_GB2312" w:hAnsi="仿宋_GB2312" w:cs="仿宋_GB2312"/>
          <w:sz w:val="32"/>
          <w:szCs w:val="32"/>
        </w:rPr>
        <w:t>万亩的绩效指标</w:t>
      </w:r>
      <w:r>
        <w:rPr>
          <w:rFonts w:hint="eastAsia" w:ascii="Times New Roman" w:hAnsi="Times New Roman" w:cs="Times New Roman"/>
          <w:sz w:val="32"/>
          <w:szCs w:val="32"/>
          <w:highlight w:val="none"/>
          <w:lang w:val="en-US" w:eastAsia="zh-CN"/>
        </w:rPr>
        <w:t>。</w:t>
      </w:r>
    </w:p>
    <w:p w14:paraId="165E52B7">
      <w:pPr>
        <w:keepNext w:val="0"/>
        <w:keepLines w:val="0"/>
        <w:pageBreakBefore w:val="0"/>
        <w:widowControl w:val="0"/>
        <w:kinsoku/>
        <w:wordWrap/>
        <w:overflowPunct/>
        <w:topLinePunct w:val="0"/>
        <w:autoSpaceDE/>
        <w:autoSpaceDN/>
        <w:bidi w:val="0"/>
        <w:adjustRightInd/>
        <w:snapToGrid/>
        <w:spacing w:line="360" w:lineRule="auto"/>
        <w:ind w:firstLine="640"/>
        <w:textAlignment w:val="auto"/>
        <w:outlineLvl w:val="2"/>
        <w:rPr>
          <w:rFonts w:hint="default" w:ascii="Times New Roman" w:hAnsi="Times New Roman" w:cs="Times New Roman"/>
          <w:b/>
          <w:bCs/>
          <w:sz w:val="32"/>
          <w:szCs w:val="32"/>
          <w:highlight w:val="none"/>
        </w:rPr>
      </w:pPr>
      <w:r>
        <w:rPr>
          <w:rFonts w:hint="default" w:ascii="Times New Roman" w:hAnsi="Times New Roman" w:cs="Times New Roman"/>
          <w:b/>
          <w:bCs/>
          <w:sz w:val="32"/>
          <w:szCs w:val="32"/>
          <w:highlight w:val="none"/>
        </w:rPr>
        <w:t>2.项目质量指标</w:t>
      </w:r>
    </w:p>
    <w:p w14:paraId="494F4EBE">
      <w:pPr>
        <w:widowControl w:val="0"/>
        <w:autoSpaceDE w:val="0"/>
        <w:autoSpaceDN w:val="0"/>
        <w:adjustRightInd w:val="0"/>
        <w:spacing w:after="200" w:line="360" w:lineRule="auto"/>
        <w:ind w:firstLine="640" w:firstLineChars="200"/>
        <w:jc w:val="both"/>
        <w:rPr>
          <w:rFonts w:hint="default"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000000"/>
          <w:kern w:val="0"/>
          <w:sz w:val="32"/>
          <w:szCs w:val="22"/>
          <w:highlight w:val="none"/>
          <w:lang w:val="en-US" w:eastAsia="zh-CN" w:bidi="ar-SA"/>
        </w:rPr>
        <w:t>根据工程项目完工验收资料显示，截至202</w:t>
      </w:r>
      <w:r>
        <w:rPr>
          <w:rFonts w:hint="eastAsia" w:cs="Times New Roman"/>
          <w:color w:val="000000"/>
          <w:sz w:val="32"/>
          <w:szCs w:val="22"/>
          <w:highlight w:val="none"/>
          <w:lang w:val="en-US" w:eastAsia="zh-CN" w:bidi="ar-SA"/>
        </w:rPr>
        <w:t>5</w:t>
      </w:r>
      <w:r>
        <w:rPr>
          <w:rFonts w:hint="eastAsia" w:ascii="Times New Roman" w:hAnsi="Times New Roman" w:eastAsia="仿宋_GB2312" w:cs="Times New Roman"/>
          <w:color w:val="000000"/>
          <w:kern w:val="0"/>
          <w:sz w:val="32"/>
          <w:szCs w:val="22"/>
          <w:highlight w:val="none"/>
          <w:lang w:val="en-US" w:eastAsia="zh-CN" w:bidi="ar-SA"/>
        </w:rPr>
        <w:t>年6月底，项目初步验收率为100.00%，工程验收合格率为100.00%，已建工程未发现工程质量问题。</w:t>
      </w:r>
    </w:p>
    <w:p w14:paraId="08383AD3">
      <w:pPr>
        <w:keepNext w:val="0"/>
        <w:keepLines w:val="0"/>
        <w:pageBreakBefore w:val="0"/>
        <w:widowControl w:val="0"/>
        <w:kinsoku/>
        <w:wordWrap/>
        <w:overflowPunct/>
        <w:topLinePunct w:val="0"/>
        <w:autoSpaceDE/>
        <w:autoSpaceDN/>
        <w:bidi w:val="0"/>
        <w:adjustRightInd/>
        <w:snapToGrid/>
        <w:spacing w:line="360" w:lineRule="auto"/>
        <w:ind w:firstLine="640"/>
        <w:textAlignment w:val="auto"/>
        <w:outlineLvl w:val="2"/>
        <w:rPr>
          <w:rFonts w:hint="default" w:ascii="Times New Roman" w:hAnsi="Times New Roman" w:cs="Times New Roman"/>
          <w:color w:val="0070C0"/>
          <w:sz w:val="32"/>
          <w:highlight w:val="none"/>
        </w:rPr>
      </w:pPr>
      <w:r>
        <w:rPr>
          <w:rFonts w:hint="default" w:ascii="Times New Roman" w:hAnsi="Times New Roman" w:cs="Times New Roman"/>
          <w:b/>
          <w:bCs/>
          <w:sz w:val="32"/>
          <w:szCs w:val="32"/>
          <w:highlight w:val="none"/>
        </w:rPr>
        <w:t>3.项目时效指标</w:t>
      </w:r>
    </w:p>
    <w:p w14:paraId="6100C58B">
      <w:pPr>
        <w:widowControl w:val="0"/>
        <w:autoSpaceDE w:val="0"/>
        <w:autoSpaceDN w:val="0"/>
        <w:adjustRightInd w:val="0"/>
        <w:spacing w:after="200" w:line="276" w:lineRule="auto"/>
        <w:ind w:firstLine="640" w:firstLineChars="200"/>
        <w:jc w:val="both"/>
        <w:rPr>
          <w:rFonts w:hint="default" w:ascii="Times New Roman" w:hAnsi="Times New Roman" w:cs="Times New Roman"/>
          <w:highlight w:val="none"/>
        </w:rPr>
      </w:pPr>
      <w:r>
        <w:rPr>
          <w:rFonts w:hint="default" w:ascii="Times New Roman" w:hAnsi="Times New Roman" w:eastAsia="仿宋_GB2312"/>
          <w:color w:val="auto"/>
          <w:kern w:val="2"/>
          <w:sz w:val="32"/>
          <w:szCs w:val="22"/>
          <w:highlight w:val="none"/>
        </w:rPr>
        <w:t>202</w:t>
      </w:r>
      <w:r>
        <w:rPr>
          <w:rFonts w:hint="eastAsia"/>
          <w:color w:val="auto"/>
          <w:kern w:val="2"/>
          <w:sz w:val="32"/>
          <w:szCs w:val="22"/>
          <w:highlight w:val="none"/>
          <w:lang w:val="en-US" w:eastAsia="zh-CN"/>
        </w:rPr>
        <w:t>4</w:t>
      </w:r>
      <w:r>
        <w:rPr>
          <w:rFonts w:ascii="Times New Roman" w:hAnsi="Times New Roman" w:eastAsia="仿宋_GB2312"/>
          <w:color w:val="auto"/>
          <w:kern w:val="2"/>
          <w:sz w:val="32"/>
          <w:szCs w:val="22"/>
          <w:highlight w:val="none"/>
        </w:rPr>
        <w:t>年度，</w:t>
      </w:r>
      <w:r>
        <w:rPr>
          <w:rFonts w:hint="eastAsia"/>
          <w:color w:val="auto"/>
          <w:kern w:val="2"/>
          <w:sz w:val="32"/>
          <w:szCs w:val="32"/>
          <w:highlight w:val="none"/>
          <w:u w:val="single"/>
          <w:lang w:eastAsia="zh-CN"/>
        </w:rPr>
        <w:t>韶关市曲江区</w:t>
      </w:r>
      <w:r>
        <w:rPr>
          <w:rFonts w:ascii="Times New Roman" w:hAnsi="Times New Roman" w:eastAsia="仿宋_GB2312"/>
          <w:color w:val="auto"/>
          <w:kern w:val="2"/>
          <w:sz w:val="32"/>
          <w:szCs w:val="32"/>
          <w:highlight w:val="none"/>
          <w:u w:val="none"/>
        </w:rPr>
        <w:t>水利发展资金</w:t>
      </w:r>
      <w:r>
        <w:rPr>
          <w:rFonts w:hint="eastAsia" w:ascii="Times New Roman" w:hAnsi="Times New Roman" w:eastAsia="仿宋_GB2312"/>
          <w:color w:val="auto"/>
          <w:kern w:val="2"/>
          <w:sz w:val="32"/>
          <w:szCs w:val="32"/>
          <w:highlight w:val="none"/>
          <w:u w:val="none"/>
          <w:lang w:val="en-US" w:eastAsia="zh-CN"/>
        </w:rPr>
        <w:t>项目总数为3</w:t>
      </w:r>
      <w:r>
        <w:rPr>
          <w:rFonts w:hint="default" w:ascii="Times New Roman" w:hAnsi="Times New Roman" w:eastAsia="仿宋_GB2312"/>
          <w:color w:val="auto"/>
          <w:kern w:val="2"/>
          <w:sz w:val="32"/>
          <w:szCs w:val="32"/>
          <w:highlight w:val="none"/>
          <w:u w:val="none"/>
          <w:lang w:val="en-US" w:eastAsia="zh-CN"/>
        </w:rPr>
        <w:t>个</w:t>
      </w:r>
      <w:r>
        <w:rPr>
          <w:rFonts w:hint="eastAsia" w:ascii="Times New Roman" w:hAnsi="Times New Roman" w:eastAsia="仿宋_GB2312"/>
          <w:color w:val="auto"/>
          <w:kern w:val="2"/>
          <w:sz w:val="32"/>
          <w:szCs w:val="32"/>
          <w:highlight w:val="none"/>
          <w:u w:val="none"/>
          <w:lang w:eastAsia="zh-CN"/>
        </w:rPr>
        <w:t>，</w:t>
      </w:r>
      <w:r>
        <w:rPr>
          <w:rFonts w:hint="eastAsia" w:ascii="Times New Roman" w:hAnsi="Times New Roman" w:eastAsia="仿宋_GB2312" w:cs="Times New Roman"/>
          <w:color w:val="auto"/>
          <w:kern w:val="2"/>
          <w:sz w:val="32"/>
          <w:szCs w:val="22"/>
          <w:highlight w:val="none"/>
          <w:lang w:val="en-US" w:eastAsia="zh-CN" w:bidi="ar-SA"/>
        </w:rPr>
        <w:t>截至202</w:t>
      </w:r>
      <w:r>
        <w:rPr>
          <w:rFonts w:hint="eastAsia" w:cs="Times New Roman"/>
          <w:color w:val="auto"/>
          <w:kern w:val="2"/>
          <w:sz w:val="32"/>
          <w:szCs w:val="22"/>
          <w:highlight w:val="none"/>
          <w:lang w:val="en-US" w:eastAsia="zh-CN" w:bidi="ar-SA"/>
        </w:rPr>
        <w:t>5</w:t>
      </w:r>
      <w:r>
        <w:rPr>
          <w:rFonts w:hint="eastAsia" w:ascii="Times New Roman" w:hAnsi="Times New Roman" w:eastAsia="仿宋_GB2312" w:cs="Times New Roman"/>
          <w:color w:val="auto"/>
          <w:kern w:val="2"/>
          <w:sz w:val="32"/>
          <w:szCs w:val="22"/>
          <w:highlight w:val="none"/>
          <w:lang w:val="en-US" w:eastAsia="zh-CN" w:bidi="ar-SA"/>
        </w:rPr>
        <w:t>年6月底，项目开工</w:t>
      </w:r>
      <w:r>
        <w:rPr>
          <w:rFonts w:hint="eastAsia" w:ascii="Times New Roman" w:hAnsi="Times New Roman" w:eastAsia="仿宋_GB2312"/>
          <w:color w:val="auto"/>
          <w:kern w:val="2"/>
          <w:sz w:val="32"/>
          <w:szCs w:val="32"/>
          <w:highlight w:val="none"/>
          <w:u w:val="none"/>
          <w:lang w:val="en-US" w:eastAsia="zh-CN"/>
        </w:rPr>
        <w:t>3</w:t>
      </w:r>
      <w:r>
        <w:rPr>
          <w:rFonts w:hint="default" w:ascii="Times New Roman" w:hAnsi="Times New Roman" w:eastAsia="仿宋_GB2312"/>
          <w:color w:val="auto"/>
          <w:kern w:val="2"/>
          <w:sz w:val="32"/>
          <w:szCs w:val="32"/>
          <w:highlight w:val="none"/>
          <w:u w:val="none"/>
          <w:lang w:val="en-US" w:eastAsia="zh-CN"/>
        </w:rPr>
        <w:t>个</w:t>
      </w:r>
      <w:r>
        <w:rPr>
          <w:rFonts w:hint="eastAsia" w:ascii="Times New Roman" w:hAnsi="Times New Roman" w:eastAsia="仿宋_GB2312" w:cs="Times New Roman"/>
          <w:color w:val="auto"/>
          <w:kern w:val="2"/>
          <w:sz w:val="32"/>
          <w:szCs w:val="22"/>
          <w:highlight w:val="none"/>
          <w:lang w:val="en-US" w:eastAsia="zh-CN" w:bidi="ar-SA"/>
        </w:rPr>
        <w:t>、完工</w:t>
      </w:r>
      <w:r>
        <w:rPr>
          <w:rFonts w:hint="eastAsia" w:ascii="Times New Roman" w:hAnsi="Times New Roman" w:eastAsia="仿宋_GB2312"/>
          <w:color w:val="auto"/>
          <w:kern w:val="2"/>
          <w:sz w:val="32"/>
          <w:szCs w:val="32"/>
          <w:highlight w:val="none"/>
          <w:u w:val="none"/>
          <w:lang w:val="en-US" w:eastAsia="zh-CN"/>
        </w:rPr>
        <w:t>3</w:t>
      </w:r>
      <w:r>
        <w:rPr>
          <w:rFonts w:hint="default" w:ascii="Times New Roman" w:hAnsi="Times New Roman" w:eastAsia="仿宋_GB2312" w:cs="Times New Roman"/>
          <w:color w:val="000000"/>
          <w:sz w:val="32"/>
          <w:szCs w:val="22"/>
          <w:highlight w:val="none"/>
          <w:lang w:val="en-US" w:eastAsia="zh-CN" w:bidi="ar-SA"/>
        </w:rPr>
        <w:t>个</w:t>
      </w:r>
      <w:r>
        <w:rPr>
          <w:rFonts w:hint="eastAsia" w:ascii="Times New Roman" w:hAnsi="Times New Roman" w:eastAsia="仿宋_GB2312" w:cs="Times New Roman"/>
          <w:color w:val="000000"/>
          <w:sz w:val="32"/>
          <w:szCs w:val="22"/>
          <w:highlight w:val="none"/>
          <w:lang w:val="en-US" w:eastAsia="zh-CN" w:bidi="ar-SA"/>
        </w:rPr>
        <w:t>、</w:t>
      </w:r>
      <w:r>
        <w:rPr>
          <w:rFonts w:hint="eastAsia" w:ascii="Times New Roman" w:hAnsi="Times New Roman" w:eastAsia="仿宋_GB2312" w:cs="Times New Roman"/>
          <w:color w:val="auto"/>
          <w:kern w:val="2"/>
          <w:sz w:val="32"/>
          <w:szCs w:val="22"/>
          <w:highlight w:val="none"/>
          <w:lang w:val="en-US" w:eastAsia="zh-CN" w:bidi="ar-SA"/>
        </w:rPr>
        <w:t>验收3</w:t>
      </w:r>
      <w:r>
        <w:rPr>
          <w:rFonts w:hint="default" w:ascii="Times New Roman" w:hAnsi="Times New Roman" w:eastAsia="仿宋_GB2312" w:cs="Times New Roman"/>
          <w:color w:val="000000"/>
          <w:sz w:val="32"/>
          <w:szCs w:val="22"/>
          <w:highlight w:val="none"/>
          <w:lang w:val="en-US" w:eastAsia="zh-CN" w:bidi="ar-SA"/>
        </w:rPr>
        <w:t>个</w:t>
      </w:r>
      <w:r>
        <w:rPr>
          <w:rFonts w:hint="eastAsia" w:ascii="Times New Roman" w:hAnsi="Times New Roman" w:eastAsia="仿宋_GB2312" w:cs="Times New Roman"/>
          <w:color w:val="000000"/>
          <w:sz w:val="32"/>
          <w:szCs w:val="22"/>
          <w:highlight w:val="none"/>
          <w:lang w:val="en-US" w:eastAsia="zh-CN" w:bidi="ar-SA"/>
        </w:rPr>
        <w:t>、验收合格3</w:t>
      </w:r>
      <w:r>
        <w:rPr>
          <w:rFonts w:hint="default" w:ascii="Times New Roman" w:hAnsi="Times New Roman" w:eastAsia="仿宋_GB2312" w:cs="Times New Roman"/>
          <w:color w:val="000000"/>
          <w:sz w:val="32"/>
          <w:szCs w:val="22"/>
          <w:highlight w:val="none"/>
          <w:lang w:val="en-US" w:eastAsia="zh-CN" w:bidi="ar-SA"/>
        </w:rPr>
        <w:t>个</w:t>
      </w:r>
      <w:r>
        <w:rPr>
          <w:rFonts w:hint="eastAsia" w:ascii="Times New Roman" w:hAnsi="Times New Roman" w:eastAsia="仿宋_GB2312" w:cs="Times New Roman"/>
          <w:color w:val="000000"/>
          <w:sz w:val="32"/>
          <w:szCs w:val="22"/>
          <w:highlight w:val="none"/>
          <w:lang w:val="en-US" w:eastAsia="zh-CN" w:bidi="ar-SA"/>
        </w:rPr>
        <w:t>，完工率100.00%、验收率</w:t>
      </w:r>
      <w:r>
        <w:rPr>
          <w:rFonts w:hint="eastAsia" w:ascii="Times New Roman" w:hAnsi="Times New Roman" w:eastAsia="仿宋_GB2312"/>
          <w:color w:val="auto"/>
          <w:kern w:val="2"/>
          <w:sz w:val="32"/>
          <w:szCs w:val="32"/>
          <w:highlight w:val="none"/>
          <w:u w:val="none"/>
          <w:lang w:val="en-US" w:eastAsia="zh-CN"/>
        </w:rPr>
        <w:t>100.00%。</w:t>
      </w:r>
    </w:p>
    <w:p w14:paraId="1DAD6F69">
      <w:pPr>
        <w:pageBreakBefore w:val="0"/>
        <w:kinsoku/>
        <w:wordWrap/>
        <w:overflowPunct/>
        <w:topLinePunct w:val="0"/>
        <w:autoSpaceDE/>
        <w:autoSpaceDN/>
        <w:bidi w:val="0"/>
        <w:adjustRightInd/>
        <w:snapToGrid/>
        <w:spacing w:line="572" w:lineRule="exact"/>
        <w:ind w:firstLine="0" w:firstLineChars="0"/>
        <w:jc w:val="center"/>
        <w:textAlignment w:val="auto"/>
        <w:rPr>
          <w:rFonts w:hint="default" w:ascii="Times New Roman" w:hAnsi="Times New Roman" w:cs="Times New Roman"/>
          <w:highlight w:val="none"/>
        </w:rPr>
      </w:pPr>
      <w:r>
        <w:rPr>
          <w:rFonts w:hint="default" w:ascii="Times New Roman" w:hAnsi="Times New Roman" w:cs="Times New Roman"/>
          <w:highlight w:val="none"/>
        </w:rPr>
        <w:t>表</w:t>
      </w:r>
      <w:r>
        <w:rPr>
          <w:rFonts w:hint="eastAsia" w:cs="Times New Roman"/>
          <w:highlight w:val="none"/>
          <w:lang w:val="en-US" w:eastAsia="zh-CN"/>
        </w:rPr>
        <w:t>5</w:t>
      </w:r>
      <w:r>
        <w:rPr>
          <w:rFonts w:hint="default" w:ascii="Times New Roman" w:hAnsi="Times New Roman" w:cs="Times New Roman"/>
          <w:highlight w:val="none"/>
        </w:rPr>
        <w:t xml:space="preserve">  202</w:t>
      </w:r>
      <w:r>
        <w:rPr>
          <w:rFonts w:hint="eastAsia" w:cs="Times New Roman"/>
          <w:highlight w:val="none"/>
          <w:lang w:val="en-US" w:eastAsia="zh-CN"/>
        </w:rPr>
        <w:t>4</w:t>
      </w:r>
      <w:r>
        <w:rPr>
          <w:rFonts w:hint="default" w:ascii="Times New Roman" w:hAnsi="Times New Roman" w:cs="Times New Roman"/>
          <w:highlight w:val="none"/>
        </w:rPr>
        <w:t>年度水利发展资金项目实施情况表</w:t>
      </w:r>
    </w:p>
    <w:tbl>
      <w:tblPr>
        <w:tblStyle w:val="13"/>
        <w:tblW w:w="8562" w:type="dxa"/>
        <w:tblInd w:w="-154" w:type="dxa"/>
        <w:tblLayout w:type="fixed"/>
        <w:tblCellMar>
          <w:top w:w="0" w:type="dxa"/>
          <w:left w:w="51" w:type="dxa"/>
          <w:bottom w:w="0" w:type="dxa"/>
          <w:right w:w="51" w:type="dxa"/>
        </w:tblCellMar>
      </w:tblPr>
      <w:tblGrid>
        <w:gridCol w:w="2700"/>
        <w:gridCol w:w="765"/>
        <w:gridCol w:w="818"/>
        <w:gridCol w:w="832"/>
        <w:gridCol w:w="982"/>
        <w:gridCol w:w="900"/>
        <w:gridCol w:w="852"/>
        <w:gridCol w:w="713"/>
      </w:tblGrid>
      <w:tr w14:paraId="50A1D54F">
        <w:tblPrEx>
          <w:tblCellMar>
            <w:top w:w="0" w:type="dxa"/>
            <w:left w:w="51" w:type="dxa"/>
            <w:bottom w:w="0" w:type="dxa"/>
            <w:right w:w="51" w:type="dxa"/>
          </w:tblCellMar>
        </w:tblPrEx>
        <w:trPr>
          <w:trHeight w:val="436" w:hRule="atLeast"/>
        </w:trPr>
        <w:tc>
          <w:tcPr>
            <w:tcW w:w="27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2A4EB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firstLine="0" w:firstLineChars="0"/>
              <w:jc w:val="center"/>
              <w:textAlignment w:val="auto"/>
              <w:rPr>
                <w:rFonts w:hint="default" w:ascii="Times New Roman" w:hAnsi="Times New Roman" w:cs="Times New Roman"/>
                <w:color w:val="000000"/>
                <w:kern w:val="0"/>
                <w:sz w:val="18"/>
                <w:szCs w:val="18"/>
                <w:highlight w:val="none"/>
              </w:rPr>
            </w:pPr>
            <w:r>
              <w:rPr>
                <w:rFonts w:hint="eastAsia" w:ascii="仿宋_GB2312" w:hAnsi="宋体"/>
                <w:kern w:val="0"/>
                <w:sz w:val="18"/>
                <w:szCs w:val="18"/>
                <w:highlight w:val="none"/>
                <w:lang w:val="en-US" w:eastAsia="zh-CN"/>
              </w:rPr>
              <w:t>分类</w:t>
            </w:r>
          </w:p>
        </w:tc>
        <w:tc>
          <w:tcPr>
            <w:tcW w:w="4297" w:type="dxa"/>
            <w:gridSpan w:val="5"/>
            <w:tcBorders>
              <w:top w:val="single" w:color="auto" w:sz="4" w:space="0"/>
              <w:left w:val="nil"/>
              <w:bottom w:val="single" w:color="auto" w:sz="4" w:space="0"/>
              <w:right w:val="single" w:color="auto" w:sz="4" w:space="0"/>
            </w:tcBorders>
            <w:shd w:val="clear" w:color="auto" w:fill="auto"/>
            <w:vAlign w:val="center"/>
          </w:tcPr>
          <w:p w14:paraId="51D0CC32">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000000"/>
                <w:kern w:val="0"/>
                <w:sz w:val="18"/>
                <w:szCs w:val="18"/>
                <w:highlight w:val="none"/>
              </w:rPr>
            </w:pPr>
            <w:r>
              <w:rPr>
                <w:rFonts w:hint="default" w:ascii="Times New Roman" w:hAnsi="Times New Roman" w:cs="Times New Roman"/>
                <w:color w:val="000000"/>
                <w:kern w:val="0"/>
                <w:sz w:val="18"/>
                <w:szCs w:val="18"/>
                <w:highlight w:val="none"/>
              </w:rPr>
              <w:t>实施项目数（个）</w:t>
            </w:r>
          </w:p>
        </w:tc>
        <w:tc>
          <w:tcPr>
            <w:tcW w:w="852"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784DA327">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000000"/>
                <w:kern w:val="0"/>
                <w:sz w:val="18"/>
                <w:szCs w:val="18"/>
                <w:highlight w:val="none"/>
              </w:rPr>
            </w:pPr>
            <w:r>
              <w:rPr>
                <w:rFonts w:hint="default" w:ascii="Times New Roman" w:hAnsi="Times New Roman" w:cs="Times New Roman"/>
                <w:color w:val="000000"/>
                <w:kern w:val="0"/>
                <w:sz w:val="18"/>
                <w:szCs w:val="18"/>
                <w:highlight w:val="none"/>
              </w:rPr>
              <w:t>项目</w:t>
            </w:r>
          </w:p>
          <w:p w14:paraId="1C8722E6">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000000"/>
                <w:kern w:val="0"/>
                <w:sz w:val="18"/>
                <w:szCs w:val="18"/>
                <w:highlight w:val="none"/>
              </w:rPr>
            </w:pPr>
            <w:r>
              <w:rPr>
                <w:rFonts w:hint="default" w:ascii="Times New Roman" w:hAnsi="Times New Roman" w:cs="Times New Roman"/>
                <w:color w:val="000000"/>
                <w:kern w:val="0"/>
                <w:sz w:val="18"/>
                <w:szCs w:val="18"/>
                <w:highlight w:val="none"/>
              </w:rPr>
              <w:t>完工率（%）</w:t>
            </w:r>
          </w:p>
        </w:tc>
        <w:tc>
          <w:tcPr>
            <w:tcW w:w="713"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1E7BCE5E">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000000"/>
                <w:kern w:val="0"/>
                <w:sz w:val="18"/>
                <w:szCs w:val="18"/>
                <w:highlight w:val="none"/>
              </w:rPr>
            </w:pPr>
            <w:r>
              <w:rPr>
                <w:rFonts w:hint="default" w:ascii="Times New Roman" w:hAnsi="Times New Roman" w:cs="Times New Roman"/>
                <w:color w:val="000000"/>
                <w:kern w:val="0"/>
                <w:sz w:val="18"/>
                <w:szCs w:val="18"/>
                <w:highlight w:val="none"/>
              </w:rPr>
              <w:t>项目</w:t>
            </w:r>
          </w:p>
          <w:p w14:paraId="26271C40">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000000"/>
                <w:kern w:val="0"/>
                <w:sz w:val="18"/>
                <w:szCs w:val="18"/>
                <w:highlight w:val="none"/>
              </w:rPr>
            </w:pPr>
            <w:r>
              <w:rPr>
                <w:rFonts w:hint="default" w:ascii="Times New Roman" w:hAnsi="Times New Roman" w:cs="Times New Roman"/>
                <w:color w:val="000000"/>
                <w:kern w:val="0"/>
                <w:sz w:val="18"/>
                <w:szCs w:val="18"/>
                <w:highlight w:val="none"/>
              </w:rPr>
              <w:t>验收率（%）</w:t>
            </w:r>
          </w:p>
        </w:tc>
      </w:tr>
      <w:tr w14:paraId="6E20696D">
        <w:tblPrEx>
          <w:tblCellMar>
            <w:top w:w="0" w:type="dxa"/>
            <w:left w:w="51" w:type="dxa"/>
            <w:bottom w:w="0" w:type="dxa"/>
            <w:right w:w="51" w:type="dxa"/>
          </w:tblCellMar>
        </w:tblPrEx>
        <w:trPr>
          <w:trHeight w:val="20" w:hRule="atLeast"/>
        </w:trPr>
        <w:tc>
          <w:tcPr>
            <w:tcW w:w="2700" w:type="dxa"/>
            <w:vMerge w:val="continue"/>
            <w:tcBorders>
              <w:top w:val="single" w:color="auto" w:sz="4" w:space="0"/>
              <w:left w:val="single" w:color="auto" w:sz="4" w:space="0"/>
              <w:bottom w:val="single" w:color="auto" w:sz="4" w:space="0"/>
              <w:right w:val="single" w:color="auto" w:sz="4" w:space="0"/>
            </w:tcBorders>
            <w:vAlign w:val="center"/>
          </w:tcPr>
          <w:p w14:paraId="7A377B99">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000000"/>
                <w:kern w:val="0"/>
                <w:sz w:val="18"/>
                <w:szCs w:val="18"/>
                <w:highlight w:val="none"/>
              </w:rPr>
            </w:pPr>
          </w:p>
        </w:tc>
        <w:tc>
          <w:tcPr>
            <w:tcW w:w="765" w:type="dxa"/>
            <w:tcBorders>
              <w:top w:val="nil"/>
              <w:left w:val="nil"/>
              <w:bottom w:val="single" w:color="auto" w:sz="4" w:space="0"/>
              <w:right w:val="single" w:color="auto" w:sz="4" w:space="0"/>
            </w:tcBorders>
            <w:shd w:val="clear" w:color="auto" w:fill="auto"/>
            <w:vAlign w:val="center"/>
          </w:tcPr>
          <w:p w14:paraId="4FAF97B6">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000000"/>
                <w:kern w:val="0"/>
                <w:sz w:val="18"/>
                <w:szCs w:val="18"/>
                <w:highlight w:val="none"/>
              </w:rPr>
            </w:pPr>
            <w:r>
              <w:rPr>
                <w:rFonts w:hint="default" w:ascii="Times New Roman" w:hAnsi="Times New Roman" w:cs="Times New Roman"/>
                <w:color w:val="000000"/>
                <w:kern w:val="0"/>
                <w:sz w:val="18"/>
                <w:szCs w:val="18"/>
                <w:highlight w:val="none"/>
              </w:rPr>
              <w:t>总数</w:t>
            </w:r>
          </w:p>
        </w:tc>
        <w:tc>
          <w:tcPr>
            <w:tcW w:w="818" w:type="dxa"/>
            <w:tcBorders>
              <w:top w:val="nil"/>
              <w:left w:val="nil"/>
              <w:bottom w:val="single" w:color="auto" w:sz="4" w:space="0"/>
              <w:right w:val="single" w:color="auto" w:sz="4" w:space="0"/>
            </w:tcBorders>
            <w:shd w:val="clear" w:color="auto" w:fill="auto"/>
            <w:vAlign w:val="center"/>
          </w:tcPr>
          <w:p w14:paraId="56430CC6">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000000"/>
                <w:kern w:val="0"/>
                <w:sz w:val="18"/>
                <w:szCs w:val="18"/>
                <w:highlight w:val="none"/>
              </w:rPr>
            </w:pPr>
            <w:r>
              <w:rPr>
                <w:rFonts w:hint="default" w:ascii="Times New Roman" w:hAnsi="Times New Roman" w:cs="Times New Roman"/>
                <w:color w:val="000000"/>
                <w:kern w:val="0"/>
                <w:sz w:val="18"/>
                <w:szCs w:val="18"/>
                <w:highlight w:val="none"/>
              </w:rPr>
              <w:t>项目</w:t>
            </w:r>
          </w:p>
          <w:p w14:paraId="0CE47B8E">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000000"/>
                <w:kern w:val="0"/>
                <w:sz w:val="18"/>
                <w:szCs w:val="18"/>
                <w:highlight w:val="none"/>
              </w:rPr>
            </w:pPr>
            <w:r>
              <w:rPr>
                <w:rFonts w:hint="default" w:ascii="Times New Roman" w:hAnsi="Times New Roman" w:cs="Times New Roman"/>
                <w:color w:val="000000"/>
                <w:kern w:val="0"/>
                <w:sz w:val="18"/>
                <w:szCs w:val="18"/>
                <w:highlight w:val="none"/>
              </w:rPr>
              <w:t>开工</w:t>
            </w:r>
          </w:p>
        </w:tc>
        <w:tc>
          <w:tcPr>
            <w:tcW w:w="832" w:type="dxa"/>
            <w:tcBorders>
              <w:top w:val="nil"/>
              <w:left w:val="nil"/>
              <w:bottom w:val="single" w:color="auto" w:sz="4" w:space="0"/>
              <w:right w:val="single" w:color="auto" w:sz="4" w:space="0"/>
            </w:tcBorders>
            <w:shd w:val="clear" w:color="auto" w:fill="auto"/>
            <w:vAlign w:val="center"/>
          </w:tcPr>
          <w:p w14:paraId="6FD39C03">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000000"/>
                <w:kern w:val="0"/>
                <w:sz w:val="18"/>
                <w:szCs w:val="18"/>
                <w:highlight w:val="none"/>
              </w:rPr>
            </w:pPr>
            <w:r>
              <w:rPr>
                <w:rFonts w:hint="default" w:ascii="Times New Roman" w:hAnsi="Times New Roman" w:cs="Times New Roman"/>
                <w:color w:val="000000"/>
                <w:kern w:val="0"/>
                <w:sz w:val="18"/>
                <w:szCs w:val="18"/>
                <w:highlight w:val="none"/>
              </w:rPr>
              <w:t>项目</w:t>
            </w:r>
          </w:p>
          <w:p w14:paraId="4AB01C37">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000000"/>
                <w:kern w:val="0"/>
                <w:sz w:val="18"/>
                <w:szCs w:val="18"/>
                <w:highlight w:val="none"/>
              </w:rPr>
            </w:pPr>
            <w:r>
              <w:rPr>
                <w:rFonts w:hint="default" w:ascii="Times New Roman" w:hAnsi="Times New Roman" w:cs="Times New Roman"/>
                <w:color w:val="000000"/>
                <w:kern w:val="0"/>
                <w:sz w:val="18"/>
                <w:szCs w:val="18"/>
                <w:highlight w:val="none"/>
              </w:rPr>
              <w:t>完工</w:t>
            </w:r>
          </w:p>
        </w:tc>
        <w:tc>
          <w:tcPr>
            <w:tcW w:w="982" w:type="dxa"/>
            <w:tcBorders>
              <w:top w:val="nil"/>
              <w:left w:val="nil"/>
              <w:bottom w:val="single" w:color="auto" w:sz="4" w:space="0"/>
              <w:right w:val="single" w:color="auto" w:sz="4" w:space="0"/>
            </w:tcBorders>
            <w:shd w:val="clear" w:color="auto" w:fill="auto"/>
            <w:vAlign w:val="center"/>
          </w:tcPr>
          <w:p w14:paraId="4189C43D">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000000"/>
                <w:kern w:val="0"/>
                <w:sz w:val="18"/>
                <w:szCs w:val="18"/>
                <w:highlight w:val="none"/>
              </w:rPr>
            </w:pPr>
            <w:r>
              <w:rPr>
                <w:rFonts w:hint="default" w:ascii="Times New Roman" w:hAnsi="Times New Roman" w:cs="Times New Roman"/>
                <w:color w:val="000000"/>
                <w:kern w:val="0"/>
                <w:sz w:val="18"/>
                <w:szCs w:val="18"/>
                <w:highlight w:val="none"/>
              </w:rPr>
              <w:t>完工</w:t>
            </w:r>
          </w:p>
          <w:p w14:paraId="70CD76BB">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000000"/>
                <w:kern w:val="0"/>
                <w:sz w:val="18"/>
                <w:szCs w:val="18"/>
                <w:highlight w:val="none"/>
              </w:rPr>
            </w:pPr>
            <w:r>
              <w:rPr>
                <w:rFonts w:hint="default" w:ascii="Times New Roman" w:hAnsi="Times New Roman" w:cs="Times New Roman"/>
                <w:color w:val="000000"/>
                <w:kern w:val="0"/>
                <w:sz w:val="18"/>
                <w:szCs w:val="18"/>
                <w:highlight w:val="none"/>
              </w:rPr>
              <w:t>验收</w:t>
            </w:r>
          </w:p>
        </w:tc>
        <w:tc>
          <w:tcPr>
            <w:tcW w:w="900" w:type="dxa"/>
            <w:tcBorders>
              <w:top w:val="nil"/>
              <w:left w:val="nil"/>
              <w:bottom w:val="single" w:color="auto" w:sz="4" w:space="0"/>
              <w:right w:val="single" w:color="auto" w:sz="4" w:space="0"/>
            </w:tcBorders>
            <w:shd w:val="clear" w:color="auto" w:fill="auto"/>
            <w:vAlign w:val="center"/>
          </w:tcPr>
          <w:p w14:paraId="6DA72300">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000000"/>
                <w:kern w:val="0"/>
                <w:sz w:val="18"/>
                <w:szCs w:val="18"/>
                <w:highlight w:val="none"/>
              </w:rPr>
            </w:pPr>
            <w:r>
              <w:rPr>
                <w:rFonts w:hint="default" w:ascii="Times New Roman" w:hAnsi="Times New Roman" w:cs="Times New Roman"/>
                <w:color w:val="000000"/>
                <w:kern w:val="0"/>
                <w:sz w:val="18"/>
                <w:szCs w:val="18"/>
                <w:highlight w:val="none"/>
              </w:rPr>
              <w:t>验收</w:t>
            </w:r>
          </w:p>
          <w:p w14:paraId="5E010A77">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000000"/>
                <w:kern w:val="0"/>
                <w:sz w:val="18"/>
                <w:szCs w:val="18"/>
                <w:highlight w:val="none"/>
              </w:rPr>
            </w:pPr>
            <w:r>
              <w:rPr>
                <w:rFonts w:hint="default" w:ascii="Times New Roman" w:hAnsi="Times New Roman" w:cs="Times New Roman"/>
                <w:color w:val="000000"/>
                <w:kern w:val="0"/>
                <w:sz w:val="18"/>
                <w:szCs w:val="18"/>
                <w:highlight w:val="none"/>
              </w:rPr>
              <w:t>合格</w:t>
            </w:r>
          </w:p>
        </w:tc>
        <w:tc>
          <w:tcPr>
            <w:tcW w:w="852" w:type="dxa"/>
            <w:vMerge w:val="continue"/>
            <w:tcBorders>
              <w:top w:val="single" w:color="auto" w:sz="4" w:space="0"/>
              <w:left w:val="single" w:color="auto" w:sz="4" w:space="0"/>
              <w:bottom w:val="single" w:color="000000" w:sz="4" w:space="0"/>
              <w:right w:val="single" w:color="auto" w:sz="4" w:space="0"/>
            </w:tcBorders>
            <w:vAlign w:val="center"/>
          </w:tcPr>
          <w:p w14:paraId="37291E1E">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000000"/>
                <w:kern w:val="0"/>
                <w:sz w:val="18"/>
                <w:szCs w:val="18"/>
                <w:highlight w:val="none"/>
              </w:rPr>
            </w:pPr>
          </w:p>
        </w:tc>
        <w:tc>
          <w:tcPr>
            <w:tcW w:w="713" w:type="dxa"/>
            <w:vMerge w:val="continue"/>
            <w:tcBorders>
              <w:top w:val="single" w:color="auto" w:sz="4" w:space="0"/>
              <w:left w:val="single" w:color="auto" w:sz="4" w:space="0"/>
              <w:bottom w:val="single" w:color="000000" w:sz="4" w:space="0"/>
              <w:right w:val="single" w:color="auto" w:sz="4" w:space="0"/>
            </w:tcBorders>
            <w:vAlign w:val="center"/>
          </w:tcPr>
          <w:p w14:paraId="05B9EB31">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cs="Times New Roman"/>
                <w:color w:val="000000"/>
                <w:kern w:val="0"/>
                <w:sz w:val="18"/>
                <w:szCs w:val="18"/>
                <w:highlight w:val="none"/>
              </w:rPr>
            </w:pPr>
          </w:p>
        </w:tc>
      </w:tr>
      <w:tr w14:paraId="27B55532">
        <w:tblPrEx>
          <w:tblCellMar>
            <w:top w:w="0" w:type="dxa"/>
            <w:left w:w="51" w:type="dxa"/>
            <w:bottom w:w="0" w:type="dxa"/>
            <w:right w:w="51" w:type="dxa"/>
          </w:tblCellMar>
        </w:tblPrEx>
        <w:tc>
          <w:tcPr>
            <w:tcBorders>
              <w:top w:val="single" w:color="auto" w:sz="4" w:space="0"/>
              <w:left w:val="single" w:color="auto" w:sz="4" w:space="0"/>
              <w:bottom w:val="single" w:color="auto" w:sz="4" w:space="0"/>
              <w:right w:val="single" w:color="auto" w:sz="4" w:space="0"/>
            </w:tcBorders>
          </w:tcPr>
          <w:p w14:paraId="0CABE5AE">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小型水库维修养护</w:t>
            </w:r>
          </w:p>
        </w:tc>
        <w:tc>
          <w:tcPr>
            <w:tcW w:w="765" w:type="dxa"/>
            <w:tcBorders>
              <w:top w:val="single" w:color="auto" w:sz="4" w:space="0"/>
              <w:left w:val="single" w:color="auto" w:sz="4" w:space="0"/>
              <w:bottom w:val="single" w:color="auto" w:sz="4" w:space="0"/>
              <w:right w:val="single" w:color="auto" w:sz="4" w:space="0"/>
            </w:tcBorders>
          </w:tcPr>
          <w:p w14:paraId="15FD224F">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1</w:t>
            </w:r>
          </w:p>
        </w:tc>
        <w:tc>
          <w:tcPr>
            <w:tcW w:w="818" w:type="dxa"/>
            <w:tcBorders>
              <w:top w:val="single" w:color="auto" w:sz="4" w:space="0"/>
              <w:left w:val="single" w:color="auto" w:sz="4" w:space="0"/>
              <w:bottom w:val="single" w:color="auto" w:sz="4" w:space="0"/>
              <w:right w:val="single" w:color="auto" w:sz="4" w:space="0"/>
            </w:tcBorders>
          </w:tcPr>
          <w:p w14:paraId="704648B0">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1</w:t>
            </w:r>
          </w:p>
        </w:tc>
        <w:tc>
          <w:tcPr>
            <w:tcW w:w="832" w:type="dxa"/>
            <w:tcBorders>
              <w:top w:val="single" w:color="auto" w:sz="4" w:space="0"/>
              <w:left w:val="single" w:color="auto" w:sz="4" w:space="0"/>
              <w:bottom w:val="single" w:color="auto" w:sz="4" w:space="0"/>
              <w:right w:val="single" w:color="auto" w:sz="4" w:space="0"/>
            </w:tcBorders>
          </w:tcPr>
          <w:p w14:paraId="349306F9">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1</w:t>
            </w:r>
          </w:p>
        </w:tc>
        <w:tc>
          <w:tcPr>
            <w:tcW w:w="982" w:type="dxa"/>
            <w:tcBorders>
              <w:top w:val="single" w:color="auto" w:sz="4" w:space="0"/>
              <w:left w:val="single" w:color="auto" w:sz="4" w:space="0"/>
              <w:bottom w:val="single" w:color="auto" w:sz="4" w:space="0"/>
              <w:right w:val="single" w:color="auto" w:sz="4" w:space="0"/>
            </w:tcBorders>
          </w:tcPr>
          <w:p w14:paraId="2FBD83D7">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1</w:t>
            </w:r>
          </w:p>
        </w:tc>
        <w:tc>
          <w:tcPr>
            <w:tcW w:w="900" w:type="dxa"/>
            <w:tcBorders>
              <w:top w:val="single" w:color="auto" w:sz="4" w:space="0"/>
              <w:left w:val="single" w:color="auto" w:sz="4" w:space="0"/>
              <w:bottom w:val="single" w:color="auto" w:sz="4" w:space="0"/>
              <w:right w:val="single" w:color="auto" w:sz="4" w:space="0"/>
            </w:tcBorders>
          </w:tcPr>
          <w:p w14:paraId="3FF1B95D">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1</w:t>
            </w:r>
          </w:p>
        </w:tc>
        <w:tc>
          <w:tcPr>
            <w:tcW w:w="852" w:type="dxa"/>
            <w:tcBorders>
              <w:top w:val="single" w:color="auto" w:sz="4" w:space="0"/>
              <w:left w:val="single" w:color="auto" w:sz="4" w:space="0"/>
              <w:bottom w:val="single" w:color="auto" w:sz="4" w:space="0"/>
              <w:right w:val="single" w:color="auto" w:sz="4" w:space="0"/>
            </w:tcBorders>
          </w:tcPr>
          <w:p w14:paraId="5F51CA8D">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100.00%</w:t>
            </w:r>
          </w:p>
        </w:tc>
        <w:tc>
          <w:tcPr>
            <w:tcW w:w="713" w:type="dxa"/>
            <w:tcBorders>
              <w:top w:val="single" w:color="auto" w:sz="4" w:space="0"/>
              <w:left w:val="single" w:color="auto" w:sz="4" w:space="0"/>
              <w:bottom w:val="single" w:color="auto" w:sz="4" w:space="0"/>
              <w:right w:val="single" w:color="auto" w:sz="4" w:space="0"/>
            </w:tcBorders>
          </w:tcPr>
          <w:p w14:paraId="5A3906DC">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100.00%</w:t>
            </w:r>
          </w:p>
        </w:tc>
      </w:tr>
      <w:tr w14:paraId="54A285B2">
        <w:tblPrEx>
          <w:tblCellMar>
            <w:top w:w="0" w:type="dxa"/>
            <w:left w:w="51" w:type="dxa"/>
            <w:bottom w:w="0" w:type="dxa"/>
            <w:right w:w="51" w:type="dxa"/>
          </w:tblCellMar>
        </w:tblPrEx>
        <w:tc>
          <w:tcPr>
            <w:tcBorders>
              <w:top w:val="single" w:color="auto" w:sz="4" w:space="0"/>
              <w:left w:val="single" w:color="auto" w:sz="4" w:space="0"/>
              <w:bottom w:val="single" w:color="auto" w:sz="4" w:space="0"/>
              <w:right w:val="single" w:color="auto" w:sz="4" w:space="0"/>
            </w:tcBorders>
          </w:tcPr>
          <w:p w14:paraId="547E7D5B">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白蚁防治</w:t>
            </w:r>
          </w:p>
        </w:tc>
        <w:tc>
          <w:tcPr>
            <w:tcW w:w="765" w:type="dxa"/>
            <w:tcBorders>
              <w:top w:val="single" w:color="auto" w:sz="4" w:space="0"/>
              <w:left w:val="single" w:color="auto" w:sz="4" w:space="0"/>
              <w:bottom w:val="single" w:color="auto" w:sz="4" w:space="0"/>
              <w:right w:val="single" w:color="auto" w:sz="4" w:space="0"/>
            </w:tcBorders>
          </w:tcPr>
          <w:p w14:paraId="79538A00">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1</w:t>
            </w:r>
          </w:p>
        </w:tc>
        <w:tc>
          <w:tcPr>
            <w:tcW w:w="818" w:type="dxa"/>
            <w:tcBorders>
              <w:top w:val="single" w:color="auto" w:sz="4" w:space="0"/>
              <w:left w:val="single" w:color="auto" w:sz="4" w:space="0"/>
              <w:bottom w:val="single" w:color="auto" w:sz="4" w:space="0"/>
              <w:right w:val="single" w:color="auto" w:sz="4" w:space="0"/>
            </w:tcBorders>
          </w:tcPr>
          <w:p w14:paraId="01097DAF">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1</w:t>
            </w:r>
          </w:p>
        </w:tc>
        <w:tc>
          <w:tcPr>
            <w:tcW w:w="832" w:type="dxa"/>
            <w:tcBorders>
              <w:top w:val="single" w:color="auto" w:sz="4" w:space="0"/>
              <w:left w:val="single" w:color="auto" w:sz="4" w:space="0"/>
              <w:bottom w:val="single" w:color="auto" w:sz="4" w:space="0"/>
              <w:right w:val="single" w:color="auto" w:sz="4" w:space="0"/>
            </w:tcBorders>
          </w:tcPr>
          <w:p w14:paraId="2F3CD585">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1</w:t>
            </w:r>
          </w:p>
        </w:tc>
        <w:tc>
          <w:tcPr>
            <w:tcW w:w="982" w:type="dxa"/>
            <w:tcBorders>
              <w:top w:val="single" w:color="auto" w:sz="4" w:space="0"/>
              <w:left w:val="single" w:color="auto" w:sz="4" w:space="0"/>
              <w:bottom w:val="single" w:color="auto" w:sz="4" w:space="0"/>
              <w:right w:val="single" w:color="auto" w:sz="4" w:space="0"/>
            </w:tcBorders>
          </w:tcPr>
          <w:p w14:paraId="1BE1C0B2">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1</w:t>
            </w:r>
          </w:p>
        </w:tc>
        <w:tc>
          <w:tcPr>
            <w:tcW w:w="900" w:type="dxa"/>
            <w:tcBorders>
              <w:top w:val="single" w:color="auto" w:sz="4" w:space="0"/>
              <w:left w:val="single" w:color="auto" w:sz="4" w:space="0"/>
              <w:bottom w:val="single" w:color="auto" w:sz="4" w:space="0"/>
              <w:right w:val="single" w:color="auto" w:sz="4" w:space="0"/>
            </w:tcBorders>
          </w:tcPr>
          <w:p w14:paraId="65E7C0AD">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1</w:t>
            </w:r>
          </w:p>
        </w:tc>
        <w:tc>
          <w:tcPr>
            <w:tcW w:w="852" w:type="dxa"/>
            <w:tcBorders>
              <w:top w:val="single" w:color="auto" w:sz="4" w:space="0"/>
              <w:left w:val="single" w:color="auto" w:sz="4" w:space="0"/>
              <w:bottom w:val="single" w:color="auto" w:sz="4" w:space="0"/>
              <w:right w:val="single" w:color="auto" w:sz="4" w:space="0"/>
            </w:tcBorders>
          </w:tcPr>
          <w:p w14:paraId="6E2758EE">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100.00%</w:t>
            </w:r>
          </w:p>
        </w:tc>
        <w:tc>
          <w:tcPr>
            <w:tcW w:w="713" w:type="dxa"/>
            <w:tcBorders>
              <w:top w:val="single" w:color="auto" w:sz="4" w:space="0"/>
              <w:left w:val="single" w:color="auto" w:sz="4" w:space="0"/>
              <w:bottom w:val="single" w:color="auto" w:sz="4" w:space="0"/>
              <w:right w:val="single" w:color="auto" w:sz="4" w:space="0"/>
            </w:tcBorders>
          </w:tcPr>
          <w:p w14:paraId="64C403AB">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100.00%</w:t>
            </w:r>
          </w:p>
        </w:tc>
      </w:tr>
      <w:tr w14:paraId="0A403C46">
        <w:tblPrEx>
          <w:tblCellMar>
            <w:top w:w="0" w:type="dxa"/>
            <w:left w:w="51" w:type="dxa"/>
            <w:bottom w:w="0" w:type="dxa"/>
            <w:right w:w="51" w:type="dxa"/>
          </w:tblCellMar>
        </w:tblPrEx>
        <w:tc>
          <w:tcPr>
            <w:tcBorders>
              <w:top w:val="single" w:color="auto" w:sz="4" w:space="0"/>
              <w:left w:val="single" w:color="auto" w:sz="4" w:space="0"/>
              <w:bottom w:val="single" w:color="auto" w:sz="4" w:space="0"/>
              <w:right w:val="single" w:color="auto" w:sz="4" w:space="0"/>
            </w:tcBorders>
          </w:tcPr>
          <w:p w14:paraId="08270C96">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农业水价综合改革</w:t>
            </w:r>
          </w:p>
        </w:tc>
        <w:tc>
          <w:tcPr>
            <w:tcW w:w="765" w:type="dxa"/>
            <w:tcBorders>
              <w:top w:val="single" w:color="auto" w:sz="4" w:space="0"/>
              <w:left w:val="single" w:color="auto" w:sz="4" w:space="0"/>
              <w:bottom w:val="single" w:color="auto" w:sz="4" w:space="0"/>
              <w:right w:val="single" w:color="auto" w:sz="4" w:space="0"/>
            </w:tcBorders>
          </w:tcPr>
          <w:p w14:paraId="4ECEBF1C">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1</w:t>
            </w:r>
          </w:p>
        </w:tc>
        <w:tc>
          <w:tcPr>
            <w:tcW w:w="818" w:type="dxa"/>
            <w:tcBorders>
              <w:top w:val="single" w:color="auto" w:sz="4" w:space="0"/>
              <w:left w:val="single" w:color="auto" w:sz="4" w:space="0"/>
              <w:bottom w:val="single" w:color="auto" w:sz="4" w:space="0"/>
              <w:right w:val="single" w:color="auto" w:sz="4" w:space="0"/>
            </w:tcBorders>
          </w:tcPr>
          <w:p w14:paraId="5BFEBA81">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1</w:t>
            </w:r>
          </w:p>
        </w:tc>
        <w:tc>
          <w:tcPr>
            <w:tcW w:w="832" w:type="dxa"/>
            <w:tcBorders>
              <w:top w:val="single" w:color="auto" w:sz="4" w:space="0"/>
              <w:left w:val="single" w:color="auto" w:sz="4" w:space="0"/>
              <w:bottom w:val="single" w:color="auto" w:sz="4" w:space="0"/>
              <w:right w:val="single" w:color="auto" w:sz="4" w:space="0"/>
            </w:tcBorders>
          </w:tcPr>
          <w:p w14:paraId="1D3D7402">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1</w:t>
            </w:r>
          </w:p>
        </w:tc>
        <w:tc>
          <w:tcPr>
            <w:tcW w:w="982" w:type="dxa"/>
            <w:tcBorders>
              <w:top w:val="single" w:color="auto" w:sz="4" w:space="0"/>
              <w:left w:val="single" w:color="auto" w:sz="4" w:space="0"/>
              <w:bottom w:val="single" w:color="auto" w:sz="4" w:space="0"/>
              <w:right w:val="single" w:color="auto" w:sz="4" w:space="0"/>
            </w:tcBorders>
          </w:tcPr>
          <w:p w14:paraId="7FB34222">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1</w:t>
            </w:r>
          </w:p>
        </w:tc>
        <w:tc>
          <w:tcPr>
            <w:tcW w:w="900" w:type="dxa"/>
            <w:tcBorders>
              <w:top w:val="single" w:color="auto" w:sz="4" w:space="0"/>
              <w:left w:val="single" w:color="auto" w:sz="4" w:space="0"/>
              <w:bottom w:val="single" w:color="auto" w:sz="4" w:space="0"/>
              <w:right w:val="single" w:color="auto" w:sz="4" w:space="0"/>
            </w:tcBorders>
          </w:tcPr>
          <w:p w14:paraId="0C503ED7">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1</w:t>
            </w:r>
          </w:p>
        </w:tc>
        <w:tc>
          <w:tcPr>
            <w:tcW w:w="852" w:type="dxa"/>
            <w:tcBorders>
              <w:top w:val="single" w:color="auto" w:sz="4" w:space="0"/>
              <w:left w:val="single" w:color="auto" w:sz="4" w:space="0"/>
              <w:bottom w:val="single" w:color="auto" w:sz="4" w:space="0"/>
              <w:right w:val="single" w:color="auto" w:sz="4" w:space="0"/>
            </w:tcBorders>
          </w:tcPr>
          <w:p w14:paraId="60344DA9">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100.00%</w:t>
            </w:r>
          </w:p>
        </w:tc>
        <w:tc>
          <w:tcPr>
            <w:tcW w:w="713" w:type="dxa"/>
            <w:tcBorders>
              <w:top w:val="single" w:color="auto" w:sz="4" w:space="0"/>
              <w:left w:val="single" w:color="auto" w:sz="4" w:space="0"/>
              <w:bottom w:val="single" w:color="auto" w:sz="4" w:space="0"/>
              <w:right w:val="single" w:color="auto" w:sz="4" w:space="0"/>
            </w:tcBorders>
          </w:tcPr>
          <w:p w14:paraId="5D43D459">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100.00%</w:t>
            </w:r>
          </w:p>
        </w:tc>
      </w:tr>
    </w:tbl>
    <w:p w14:paraId="5FAC2244">
      <w:pPr>
        <w:keepNext w:val="0"/>
        <w:keepLines w:val="0"/>
        <w:pageBreakBefore w:val="0"/>
        <w:widowControl w:val="0"/>
        <w:kinsoku/>
        <w:wordWrap/>
        <w:overflowPunct/>
        <w:topLinePunct w:val="0"/>
        <w:autoSpaceDE/>
        <w:autoSpaceDN/>
        <w:bidi w:val="0"/>
        <w:adjustRightInd/>
        <w:snapToGrid/>
        <w:spacing w:line="360" w:lineRule="auto"/>
        <w:ind w:firstLine="640"/>
        <w:textAlignment w:val="auto"/>
        <w:outlineLvl w:val="2"/>
        <w:rPr>
          <w:rFonts w:hint="default" w:ascii="Times New Roman" w:hAnsi="Times New Roman" w:cs="Times New Roman"/>
          <w:color w:val="0070C0"/>
          <w:sz w:val="32"/>
          <w:highlight w:val="none"/>
        </w:rPr>
      </w:pPr>
      <w:r>
        <w:rPr>
          <w:rFonts w:hint="default" w:ascii="Times New Roman" w:hAnsi="Times New Roman" w:cs="Times New Roman"/>
          <w:b/>
          <w:bCs/>
          <w:sz w:val="32"/>
          <w:szCs w:val="32"/>
          <w:highlight w:val="none"/>
        </w:rPr>
        <w:t>4.项目成本指标</w:t>
      </w:r>
    </w:p>
    <w:p w14:paraId="41F07EB3">
      <w:pPr>
        <w:pStyle w:val="32"/>
        <w:ind w:firstLine="640" w:firstLineChars="200"/>
        <w:jc w:val="both"/>
        <w:rPr>
          <w:rFonts w:hint="default" w:ascii="Times New Roman" w:hAnsi="Times New Roman" w:eastAsia="仿宋_GB2312"/>
          <w:color w:val="auto"/>
          <w:kern w:val="2"/>
          <w:sz w:val="32"/>
          <w:highlight w:val="none"/>
        </w:rPr>
      </w:pPr>
      <w:r>
        <w:rPr>
          <w:rFonts w:hint="default" w:ascii="Times New Roman" w:hAnsi="Times New Roman" w:eastAsia="仿宋_GB2312"/>
          <w:color w:val="auto"/>
          <w:kern w:val="2"/>
          <w:sz w:val="32"/>
          <w:highlight w:val="none"/>
        </w:rPr>
        <w:t>202</w:t>
      </w:r>
      <w:r>
        <w:rPr>
          <w:rFonts w:hint="eastAsia" w:ascii="Times New Roman" w:hAnsi="Times New Roman" w:eastAsia="仿宋_GB2312"/>
          <w:color w:val="auto"/>
          <w:kern w:val="2"/>
          <w:sz w:val="32"/>
          <w:highlight w:val="none"/>
          <w:lang w:val="en-US" w:eastAsia="zh-CN"/>
        </w:rPr>
        <w:t>4</w:t>
      </w:r>
      <w:r>
        <w:rPr>
          <w:rFonts w:ascii="Times New Roman" w:hAnsi="Times New Roman" w:eastAsia="仿宋_GB2312"/>
          <w:color w:val="auto"/>
          <w:kern w:val="2"/>
          <w:sz w:val="32"/>
          <w:highlight w:val="none"/>
        </w:rPr>
        <w:t>年度，</w:t>
      </w:r>
      <w:r>
        <w:rPr>
          <w:rFonts w:hint="eastAsia" w:ascii="Times New Roman" w:hAnsi="Times New Roman" w:eastAsia="仿宋_GB2312"/>
          <w:color w:val="auto"/>
          <w:kern w:val="2"/>
          <w:sz w:val="32"/>
          <w:szCs w:val="32"/>
          <w:highlight w:val="none"/>
          <w:u w:val="single"/>
          <w:lang w:eastAsia="zh-CN"/>
        </w:rPr>
        <w:t>韶关市曲江区</w:t>
      </w:r>
      <w:r>
        <w:rPr>
          <w:rFonts w:ascii="Times New Roman" w:hAnsi="Times New Roman" w:eastAsia="仿宋_GB2312"/>
          <w:color w:val="auto"/>
          <w:kern w:val="2"/>
          <w:sz w:val="32"/>
          <w:szCs w:val="32"/>
          <w:highlight w:val="none"/>
          <w:u w:val="none"/>
        </w:rPr>
        <w:t>水利发展资金</w:t>
      </w:r>
      <w:r>
        <w:rPr>
          <w:rFonts w:hint="eastAsia" w:ascii="Times New Roman" w:hAnsi="Times New Roman" w:eastAsia="仿宋_GB2312"/>
          <w:color w:val="auto"/>
          <w:kern w:val="2"/>
          <w:sz w:val="32"/>
          <w:szCs w:val="32"/>
          <w:highlight w:val="none"/>
          <w:u w:val="none"/>
          <w:lang w:val="en-US" w:eastAsia="zh-CN"/>
        </w:rPr>
        <w:t>项目总数为3</w:t>
      </w:r>
      <w:r>
        <w:rPr>
          <w:rFonts w:hint="default" w:ascii="Times New Roman" w:hAnsi="Times New Roman" w:eastAsia="仿宋_GB2312"/>
          <w:color w:val="auto"/>
          <w:kern w:val="2"/>
          <w:sz w:val="32"/>
          <w:szCs w:val="32"/>
          <w:highlight w:val="none"/>
          <w:u w:val="none"/>
          <w:lang w:val="en-US" w:eastAsia="zh-CN"/>
        </w:rPr>
        <w:t>个</w:t>
      </w:r>
      <w:r>
        <w:rPr>
          <w:rFonts w:hint="eastAsia" w:ascii="Times New Roman" w:hAnsi="Times New Roman" w:eastAsia="仿宋_GB2312"/>
          <w:color w:val="auto"/>
          <w:kern w:val="2"/>
          <w:sz w:val="32"/>
          <w:szCs w:val="32"/>
          <w:highlight w:val="none"/>
          <w:u w:val="none"/>
          <w:lang w:eastAsia="zh-CN"/>
        </w:rPr>
        <w:t>，</w:t>
      </w:r>
      <w:r>
        <w:rPr>
          <w:rFonts w:hint="eastAsia" w:ascii="Times New Roman" w:hAnsi="Times New Roman" w:eastAsia="仿宋_GB2312"/>
          <w:color w:val="auto"/>
          <w:kern w:val="2"/>
          <w:sz w:val="32"/>
          <w:highlight w:val="none"/>
          <w:u w:val="single"/>
        </w:rPr>
        <w:t>经财政评审、招投标结余的实际总投资与批复总投资偏离情况</w:t>
      </w:r>
      <w:r>
        <w:rPr>
          <w:rFonts w:hint="eastAsia" w:ascii="Times New Roman" w:hAnsi="Times New Roman" w:eastAsia="仿宋_GB2312"/>
          <w:color w:val="auto"/>
          <w:kern w:val="2"/>
          <w:sz w:val="32"/>
          <w:highlight w:val="none"/>
          <w:u w:val="single"/>
          <w:lang w:val="en-US" w:eastAsia="zh-CN"/>
        </w:rPr>
        <w:t>为：韶关市曲江区</w:t>
      </w:r>
      <w:r>
        <w:rPr>
          <w:rFonts w:hint="eastAsia" w:ascii="Times New Roman" w:hAnsi="Times New Roman" w:eastAsia="仿宋_GB2312"/>
          <w:color w:val="auto"/>
          <w:kern w:val="2"/>
          <w:sz w:val="32"/>
          <w:highlight w:val="none"/>
          <w:u w:val="single"/>
        </w:rPr>
        <w:t>严格控制项目实施的成本（预算），实际投资均未超出预算投资，实际执行均按合同支付</w:t>
      </w:r>
      <w:r>
        <w:rPr>
          <w:rFonts w:ascii="Times New Roman" w:hAnsi="Times New Roman" w:eastAsia="仿宋_GB2312"/>
          <w:color w:val="auto"/>
          <w:kern w:val="2"/>
          <w:sz w:val="32"/>
          <w:highlight w:val="none"/>
          <w:u w:val="single"/>
        </w:rPr>
        <w:t>。</w:t>
      </w:r>
    </w:p>
    <w:p w14:paraId="6724444B">
      <w:pPr>
        <w:pStyle w:val="4"/>
        <w:pageBreakBefore w:val="0"/>
        <w:kinsoku/>
        <w:wordWrap/>
        <w:overflowPunct/>
        <w:topLinePunct w:val="0"/>
        <w:autoSpaceDE/>
        <w:autoSpaceDN/>
        <w:bidi w:val="0"/>
        <w:adjustRightInd/>
        <w:snapToGrid/>
        <w:spacing w:line="360" w:lineRule="auto"/>
        <w:ind w:firstLine="643"/>
        <w:textAlignment w:val="auto"/>
        <w:rPr>
          <w:rFonts w:hint="default" w:ascii="Times New Roman" w:hAnsi="Times New Roman" w:eastAsia="楷体_GB2312" w:cs="Times New Roman"/>
          <w:b/>
          <w:bCs w:val="0"/>
          <w:sz w:val="32"/>
          <w:highlight w:val="none"/>
        </w:rPr>
      </w:pPr>
      <w:r>
        <w:rPr>
          <w:rFonts w:hint="default" w:ascii="Times New Roman" w:hAnsi="Times New Roman" w:eastAsia="楷体_GB2312" w:cs="Times New Roman"/>
          <w:b/>
          <w:bCs w:val="0"/>
          <w:sz w:val="32"/>
          <w:highlight w:val="none"/>
        </w:rPr>
        <w:t>（</w:t>
      </w:r>
      <w:r>
        <w:rPr>
          <w:rFonts w:hint="eastAsia" w:eastAsia="楷体_GB2312" w:cs="Times New Roman"/>
          <w:b/>
          <w:bCs w:val="0"/>
          <w:sz w:val="32"/>
          <w:highlight w:val="none"/>
          <w:lang w:val="en-US" w:eastAsia="zh-CN"/>
        </w:rPr>
        <w:t>五</w:t>
      </w:r>
      <w:r>
        <w:rPr>
          <w:rFonts w:hint="default" w:ascii="Times New Roman" w:hAnsi="Times New Roman" w:eastAsia="楷体_GB2312" w:cs="Times New Roman"/>
          <w:b/>
          <w:bCs w:val="0"/>
          <w:sz w:val="32"/>
          <w:highlight w:val="none"/>
        </w:rPr>
        <w:t>）效益指标完成情况分析</w:t>
      </w:r>
    </w:p>
    <w:p w14:paraId="6C156C04">
      <w:pPr>
        <w:keepNext w:val="0"/>
        <w:keepLines w:val="0"/>
        <w:pageBreakBefore w:val="0"/>
        <w:widowControl w:val="0"/>
        <w:kinsoku/>
        <w:wordWrap/>
        <w:overflowPunct/>
        <w:topLinePunct w:val="0"/>
        <w:autoSpaceDE/>
        <w:autoSpaceDN/>
        <w:bidi w:val="0"/>
        <w:adjustRightInd/>
        <w:snapToGrid/>
        <w:spacing w:line="360" w:lineRule="auto"/>
        <w:ind w:firstLine="640"/>
        <w:textAlignment w:val="auto"/>
        <w:outlineLvl w:val="2"/>
        <w:rPr>
          <w:rFonts w:hint="default" w:ascii="Times New Roman" w:hAnsi="Times New Roman" w:cs="Times New Roman"/>
          <w:b/>
          <w:bCs/>
          <w:sz w:val="32"/>
          <w:szCs w:val="32"/>
          <w:highlight w:val="none"/>
        </w:rPr>
      </w:pPr>
      <w:r>
        <w:rPr>
          <w:rFonts w:hint="default" w:ascii="Times New Roman" w:hAnsi="Times New Roman" w:cs="Times New Roman"/>
          <w:b/>
          <w:bCs/>
          <w:sz w:val="32"/>
          <w:szCs w:val="32"/>
          <w:highlight w:val="none"/>
        </w:rPr>
        <w:t>1.总体情况</w:t>
      </w:r>
    </w:p>
    <w:p w14:paraId="3F140E58">
      <w:pPr>
        <w:pageBreakBefore w:val="0"/>
        <w:widowControl w:val="0"/>
        <w:kinsoku/>
        <w:wordWrap/>
        <w:overflowPunct/>
        <w:topLinePunct w:val="0"/>
        <w:autoSpaceDE/>
        <w:autoSpaceDN/>
        <w:bidi w:val="0"/>
        <w:adjustRightInd/>
        <w:snapToGrid/>
        <w:spacing w:line="360" w:lineRule="auto"/>
        <w:ind w:firstLine="640"/>
        <w:textAlignment w:val="auto"/>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（1）项目实施的经济效益分析</w:t>
      </w:r>
    </w:p>
    <w:p w14:paraId="1F28F8DA">
      <w:pPr>
        <w:ind w:firstLine="640"/>
        <w:rPr>
          <w:highlight w:val="none"/>
        </w:rPr>
      </w:pPr>
      <w:r>
        <w:rPr>
          <w:rFonts w:hint="eastAsia" w:cs="Times New Roman"/>
          <w:sz w:val="32"/>
          <w:highlight w:val="none"/>
        </w:rPr>
        <w:t>批复的经济效益指标：无；</w:t>
      </w:r>
    </w:p>
    <w:p w14:paraId="01EAD752">
      <w:pPr>
        <w:pageBreakBefore w:val="0"/>
        <w:widowControl w:val="0"/>
        <w:kinsoku/>
        <w:wordWrap/>
        <w:overflowPunct/>
        <w:topLinePunct w:val="0"/>
        <w:autoSpaceDE/>
        <w:autoSpaceDN/>
        <w:bidi w:val="0"/>
        <w:adjustRightInd/>
        <w:snapToGrid/>
        <w:spacing w:line="360" w:lineRule="auto"/>
        <w:ind w:firstLine="640"/>
        <w:textAlignment w:val="auto"/>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（2）项目实施的社会效益分析</w:t>
      </w:r>
    </w:p>
    <w:p w14:paraId="5DC5C014">
      <w:pPr>
        <w:ind w:firstLine="640"/>
        <w:rPr>
          <w:rFonts w:hint="default" w:ascii="Times New Roman" w:hAnsi="Times New Roman" w:cs="Times New Roman"/>
          <w:sz w:val="32"/>
          <w:szCs w:val="32"/>
          <w:highlight w:val="none"/>
        </w:rPr>
      </w:pPr>
      <w:r>
        <w:rPr>
          <w:rFonts w:hint="eastAsia" w:cs="Times New Roman"/>
          <w:sz w:val="32"/>
          <w:highlight w:val="none"/>
        </w:rPr>
        <w:t>批复的</w:t>
      </w:r>
      <w:r>
        <w:rPr>
          <w:rFonts w:hint="default" w:ascii="Times New Roman" w:hAnsi="Times New Roman" w:cs="Times New Roman"/>
          <w:sz w:val="32"/>
          <w:szCs w:val="32"/>
          <w:highlight w:val="none"/>
        </w:rPr>
        <w:t>社会效益</w:t>
      </w:r>
      <w:r>
        <w:rPr>
          <w:rFonts w:hint="eastAsia" w:cs="Times New Roman"/>
          <w:sz w:val="32"/>
          <w:highlight w:val="none"/>
        </w:rPr>
        <w:t>指标：</w:t>
      </w:r>
      <w:r>
        <w:rPr>
          <w:rFonts w:hint="eastAsia" w:ascii="Times New Roman" w:hAnsi="Times New Roman" w:cs="Times New Roman"/>
          <w:sz w:val="32"/>
          <w:szCs w:val="32"/>
          <w:highlight w:val="none"/>
        </w:rPr>
        <w:t>其他水利工程设施维修养护覆盖服务人口2.156万人；</w:t>
      </w:r>
    </w:p>
    <w:p w14:paraId="5A8DED0E">
      <w:pPr>
        <w:ind w:firstLine="640"/>
        <w:rPr>
          <w:rFonts w:hint="eastAsia" w:ascii="Times New Roman" w:hAnsi="Times New Roman" w:eastAsia="仿宋_GB2312"/>
          <w:color w:val="auto"/>
          <w:kern w:val="2"/>
          <w:sz w:val="32"/>
          <w:highlight w:val="none"/>
          <w:u w:val="single"/>
        </w:rPr>
      </w:pPr>
      <w:r>
        <w:rPr>
          <w:rFonts w:hint="eastAsia" w:ascii="Times New Roman" w:hAnsi="Times New Roman" w:eastAsia="仿宋_GB2312"/>
          <w:color w:val="auto"/>
          <w:kern w:val="2"/>
          <w:sz w:val="32"/>
          <w:highlight w:val="none"/>
          <w:u w:val="single"/>
        </w:rPr>
        <w:t>通过2024年曲江区小型水库工程设施维修养护，社会效益指标完成情况为：其他水利工程设施维修养护覆盖服务人口2.156万人。</w:t>
      </w:r>
    </w:p>
    <w:p w14:paraId="58FB1A3F">
      <w:pPr>
        <w:ind w:firstLine="640"/>
        <w:rPr>
          <w:highlight w:val="none"/>
        </w:rPr>
      </w:pPr>
      <w:r>
        <w:rPr>
          <w:rFonts w:hint="eastAsia" w:ascii="Times New Roman" w:hAnsi="Times New Roman" w:eastAsia="仿宋_GB2312"/>
          <w:sz w:val="32"/>
          <w:highlight w:val="none"/>
          <w:u w:val="single"/>
          <w:lang w:val="en-US" w:eastAsia="zh-CN"/>
        </w:rPr>
        <w:t>202</w:t>
      </w:r>
      <w:r>
        <w:rPr>
          <w:rFonts w:hint="eastAsia"/>
          <w:sz w:val="32"/>
          <w:highlight w:val="none"/>
          <w:u w:val="single"/>
          <w:lang w:val="en-US" w:eastAsia="zh-CN"/>
        </w:rPr>
        <w:t>4</w:t>
      </w:r>
      <w:r>
        <w:rPr>
          <w:rFonts w:hint="eastAsia" w:ascii="Times New Roman" w:hAnsi="Times New Roman" w:eastAsia="仿宋_GB2312"/>
          <w:sz w:val="32"/>
          <w:highlight w:val="none"/>
          <w:u w:val="single"/>
          <w:lang w:val="en-US" w:eastAsia="zh-CN"/>
        </w:rPr>
        <w:t>年曲江区小型水库工程设施维修养护项目的实施保证了水利工程的安全运行，确保人民群众的生命财产安全和生产生活用水，对改善当地农民的生活和促进农业生产的发展起到积极的作用。同时促进了地区经济繁荣，优化投资环境，维持城镇及农村的正常秩序，还可以合理利用工程的水利优势和水利资源进一步综合开发沿河两岸，在稳定农村经济发展的前提下，调整发展思路，优化经济结构，吸引外资企业，从而美化城市、繁荣经济。项目对环境、资源等外部条件无负效应，有利于影响社会、经济和环境的可持续发展。为国民经济重新健康发展和社会稳定提高安全保障。社会效益和经济效益显著。</w:t>
      </w:r>
    </w:p>
    <w:p w14:paraId="600DAC5B">
      <w:pPr>
        <w:pageBreakBefore w:val="0"/>
        <w:widowControl w:val="0"/>
        <w:kinsoku/>
        <w:wordWrap/>
        <w:overflowPunct/>
        <w:topLinePunct w:val="0"/>
        <w:autoSpaceDE/>
        <w:autoSpaceDN/>
        <w:bidi w:val="0"/>
        <w:adjustRightInd/>
        <w:snapToGrid/>
        <w:spacing w:line="360" w:lineRule="auto"/>
        <w:ind w:firstLine="640"/>
        <w:textAlignment w:val="auto"/>
        <w:rPr>
          <w:rFonts w:hint="default" w:ascii="Times New Roman" w:hAnsi="Times New Roman" w:cs="Times New Roman"/>
          <w:sz w:val="32"/>
          <w:szCs w:val="32"/>
          <w:highlight w:val="none"/>
        </w:rPr>
      </w:pP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lang w:val="en-US" w:eastAsia="zh-CN"/>
        </w:rPr>
        <w:t>3</w:t>
      </w:r>
      <w:r>
        <w:rPr>
          <w:rFonts w:hint="eastAsia" w:ascii="Times New Roman" w:hAnsi="Times New Roman" w:cs="Times New Roman"/>
          <w:sz w:val="32"/>
          <w:szCs w:val="32"/>
          <w:highlight w:val="none"/>
          <w:lang w:eastAsia="zh-CN"/>
        </w:rPr>
        <w:t>）</w:t>
      </w:r>
      <w:r>
        <w:rPr>
          <w:rFonts w:hint="default" w:ascii="Times New Roman" w:hAnsi="Times New Roman" w:cs="Times New Roman"/>
          <w:sz w:val="32"/>
          <w:szCs w:val="32"/>
          <w:highlight w:val="none"/>
        </w:rPr>
        <w:t>项目实施的生态效益分析</w:t>
      </w:r>
    </w:p>
    <w:p w14:paraId="708DAF3B">
      <w:pPr>
        <w:ind w:firstLine="640"/>
        <w:rPr>
          <w:rFonts w:hint="eastAsia" w:ascii="Times New Roman" w:hAnsi="Times New Roman" w:eastAsia="仿宋_GB2312"/>
          <w:color w:val="auto"/>
          <w:kern w:val="2"/>
          <w:sz w:val="32"/>
          <w:highlight w:val="none"/>
          <w:u w:val="single"/>
        </w:rPr>
      </w:pPr>
      <w:r>
        <w:rPr>
          <w:rFonts w:hint="eastAsia" w:cs="Times New Roman"/>
          <w:sz w:val="32"/>
          <w:highlight w:val="none"/>
        </w:rPr>
        <w:t>批复的</w:t>
      </w:r>
      <w:r>
        <w:rPr>
          <w:rFonts w:hint="default" w:ascii="Times New Roman" w:hAnsi="Times New Roman" w:cs="Times New Roman"/>
          <w:sz w:val="32"/>
          <w:szCs w:val="32"/>
          <w:highlight w:val="none"/>
        </w:rPr>
        <w:t>生态效益</w:t>
      </w:r>
      <w:r>
        <w:rPr>
          <w:rFonts w:hint="eastAsia" w:cs="Times New Roman"/>
          <w:sz w:val="32"/>
          <w:highlight w:val="none"/>
        </w:rPr>
        <w:t>指标：</w:t>
      </w:r>
      <w:r>
        <w:rPr>
          <w:rFonts w:hint="eastAsia" w:ascii="Times New Roman" w:hAnsi="Times New Roman" w:cs="Times New Roman"/>
          <w:sz w:val="32"/>
          <w:szCs w:val="32"/>
          <w:highlight w:val="none"/>
        </w:rPr>
        <w:t>无；</w:t>
      </w:r>
    </w:p>
    <w:p w14:paraId="78DAFC52">
      <w:pPr>
        <w:pageBreakBefore w:val="0"/>
        <w:widowControl w:val="0"/>
        <w:kinsoku/>
        <w:wordWrap/>
        <w:overflowPunct/>
        <w:topLinePunct w:val="0"/>
        <w:autoSpaceDE/>
        <w:autoSpaceDN/>
        <w:bidi w:val="0"/>
        <w:adjustRightInd/>
        <w:snapToGrid/>
        <w:spacing w:line="360" w:lineRule="auto"/>
        <w:ind w:firstLine="640"/>
        <w:textAlignment w:val="auto"/>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（4）项目实施的可持续影响分析</w:t>
      </w:r>
    </w:p>
    <w:p w14:paraId="01139512">
      <w:pPr>
        <w:ind w:firstLine="640"/>
        <w:rPr>
          <w:sz w:val="32"/>
          <w:szCs w:val="32"/>
          <w:highlight w:val="none"/>
        </w:rPr>
      </w:pPr>
      <w:r>
        <w:rPr>
          <w:rFonts w:hint="eastAsia" w:cs="Times New Roman"/>
          <w:sz w:val="32"/>
          <w:highlight w:val="none"/>
        </w:rPr>
        <w:t>截至202</w:t>
      </w:r>
      <w:r>
        <w:rPr>
          <w:rFonts w:hint="eastAsia" w:cs="Times New Roman"/>
          <w:sz w:val="32"/>
          <w:highlight w:val="none"/>
          <w:lang w:val="en-US" w:eastAsia="zh-CN"/>
        </w:rPr>
        <w:t>5</w:t>
      </w:r>
      <w:r>
        <w:rPr>
          <w:rFonts w:hint="eastAsia" w:cs="Times New Roman"/>
          <w:sz w:val="32"/>
          <w:highlight w:val="none"/>
        </w:rPr>
        <w:t>年6月底，</w:t>
      </w:r>
      <w:r>
        <w:rPr>
          <w:rFonts w:hint="eastAsia" w:cs="Times New Roman"/>
          <w:sz w:val="32"/>
          <w:highlight w:val="none"/>
          <w:lang w:val="en-US" w:eastAsia="zh-CN"/>
        </w:rPr>
        <w:t>已建工程良性运行，工程能达到设计使用年限</w:t>
      </w:r>
      <w:r>
        <w:rPr>
          <w:rFonts w:hint="eastAsia" w:cs="Times New Roman"/>
          <w:sz w:val="32"/>
          <w:highlight w:val="none"/>
        </w:rPr>
        <w:t>。</w:t>
      </w:r>
    </w:p>
    <w:p w14:paraId="5F38948A">
      <w:pPr>
        <w:keepNext w:val="0"/>
        <w:keepLines w:val="0"/>
        <w:pageBreakBefore w:val="0"/>
        <w:widowControl w:val="0"/>
        <w:kinsoku/>
        <w:wordWrap/>
        <w:overflowPunct/>
        <w:topLinePunct w:val="0"/>
        <w:autoSpaceDE/>
        <w:autoSpaceDN/>
        <w:bidi w:val="0"/>
        <w:adjustRightInd/>
        <w:snapToGrid/>
        <w:spacing w:line="360" w:lineRule="auto"/>
        <w:ind w:firstLine="640"/>
        <w:textAlignment w:val="auto"/>
        <w:outlineLvl w:val="2"/>
        <w:rPr>
          <w:rFonts w:hint="default" w:ascii="Times New Roman" w:hAnsi="Times New Roman" w:cs="Times New Roman"/>
          <w:b/>
          <w:bCs/>
          <w:sz w:val="32"/>
          <w:szCs w:val="32"/>
          <w:highlight w:val="none"/>
        </w:rPr>
      </w:pPr>
      <w:r>
        <w:rPr>
          <w:rFonts w:hint="eastAsia" w:cs="Times New Roman"/>
          <w:b/>
          <w:bCs/>
          <w:sz w:val="32"/>
          <w:szCs w:val="32"/>
          <w:highlight w:val="none"/>
          <w:lang w:val="en-US" w:eastAsia="zh-CN"/>
        </w:rPr>
        <w:t>2</w:t>
      </w:r>
      <w:r>
        <w:rPr>
          <w:rFonts w:hint="default" w:ascii="Times New Roman" w:hAnsi="Times New Roman" w:cs="Times New Roman"/>
          <w:b/>
          <w:bCs/>
          <w:sz w:val="32"/>
          <w:szCs w:val="32"/>
          <w:highlight w:val="none"/>
        </w:rPr>
        <w:t>.</w:t>
      </w:r>
      <w:r>
        <w:rPr>
          <w:rFonts w:hint="eastAsia" w:cs="Times New Roman"/>
          <w:b/>
          <w:bCs/>
          <w:sz w:val="32"/>
          <w:szCs w:val="32"/>
          <w:highlight w:val="none"/>
          <w:lang w:val="en-US" w:eastAsia="zh-CN"/>
        </w:rPr>
        <w:t>白蚁防治</w:t>
      </w:r>
    </w:p>
    <w:p w14:paraId="6AF769B1">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（1）项目实施的经济效益分析</w:t>
      </w:r>
    </w:p>
    <w:p w14:paraId="7C12BF33">
      <w:pPr>
        <w:keepNext w:val="0"/>
        <w:keepLines w:val="0"/>
        <w:pageBreakBefore w:val="0"/>
        <w:kinsoku/>
        <w:wordWrap/>
        <w:overflowPunct/>
        <w:topLinePunct w:val="0"/>
        <w:autoSpaceDE/>
        <w:autoSpaceDN/>
        <w:bidi w:val="0"/>
        <w:adjustRightInd/>
        <w:snapToGrid/>
        <w:ind w:firstLine="640"/>
        <w:textAlignment w:val="auto"/>
        <w:rPr>
          <w:rFonts w:eastAsia="方正小标宋简体" w:cs="Times New Roman"/>
          <w:highlight w:val="none"/>
        </w:rPr>
      </w:pPr>
      <w:r>
        <w:rPr>
          <w:rFonts w:hint="eastAsia" w:cs="Times New Roman"/>
          <w:sz w:val="32"/>
          <w:highlight w:val="none"/>
        </w:rPr>
        <w:t>批复的经济效益指标：无。</w:t>
      </w:r>
    </w:p>
    <w:p w14:paraId="02B02784">
      <w:pPr>
        <w:keepNext w:val="0"/>
        <w:keepLines w:val="0"/>
        <w:pageBreakBefore w:val="0"/>
        <w:kinsoku/>
        <w:wordWrap/>
        <w:overflowPunct/>
        <w:topLinePunct w:val="0"/>
        <w:autoSpaceDE/>
        <w:autoSpaceDN/>
        <w:bidi w:val="0"/>
        <w:adjustRightInd/>
        <w:snapToGrid/>
        <w:ind w:firstLine="640"/>
        <w:textAlignment w:val="auto"/>
        <w:rPr>
          <w:rFonts w:hint="eastAsia" w:cs="Times New Roman"/>
          <w:sz w:val="32"/>
          <w:highlight w:val="none"/>
        </w:rPr>
      </w:pPr>
      <w:r>
        <w:rPr>
          <w:rFonts w:hint="eastAsia" w:cs="Times New Roman"/>
          <w:sz w:val="32"/>
          <w:highlight w:val="none"/>
        </w:rPr>
        <w:t>通过2024年曲江区白蚁等害堤动物防治，经济效益指标完成情况为：不发生因白蚁等害堤动物防治不到位造成生命财产损失。</w:t>
      </w:r>
    </w:p>
    <w:p w14:paraId="414004BA">
      <w:pPr>
        <w:pStyle w:val="2"/>
        <w:rPr>
          <w:rFonts w:hint="default" w:ascii="Times New Roman" w:hAnsi="Times New Roman" w:eastAsia="仿宋_GB2312"/>
          <w:color w:val="auto"/>
          <w:kern w:val="2"/>
          <w:sz w:val="32"/>
          <w:highlight w:val="none"/>
          <w:u w:val="none"/>
        </w:rPr>
      </w:pPr>
      <w:r>
        <w:rPr>
          <w:rFonts w:hint="default" w:ascii="Times New Roman" w:hAnsi="Times New Roman" w:eastAsia="仿宋_GB2312"/>
          <w:color w:val="auto"/>
          <w:kern w:val="2"/>
          <w:sz w:val="32"/>
          <w:highlight w:val="none"/>
          <w:u w:val="none"/>
        </w:rPr>
        <w:t>2024年曲江区白蚁等害堤动物防治</w:t>
      </w:r>
      <w:r>
        <w:rPr>
          <w:rFonts w:hint="eastAsia" w:ascii="Times New Roman" w:hAnsi="Times New Roman" w:eastAsia="仿宋_GB2312"/>
          <w:color w:val="auto"/>
          <w:kern w:val="2"/>
          <w:sz w:val="32"/>
          <w:highlight w:val="none"/>
          <w:u w:val="none"/>
          <w:lang w:val="en-US" w:eastAsia="zh-CN"/>
        </w:rPr>
        <w:t>项目的实施</w:t>
      </w:r>
      <w:r>
        <w:rPr>
          <w:rFonts w:hint="eastAsia"/>
          <w:color w:val="auto"/>
          <w:kern w:val="2"/>
          <w:sz w:val="32"/>
          <w:highlight w:val="none"/>
          <w:u w:val="none"/>
          <w:lang w:val="en-US" w:eastAsia="zh-CN"/>
        </w:rPr>
        <w:t>有效减少</w:t>
      </w:r>
      <w:r>
        <w:rPr>
          <w:rFonts w:hint="eastAsia" w:cs="Times New Roman"/>
          <w:sz w:val="32"/>
          <w:highlight w:val="none"/>
        </w:rPr>
        <w:t>因白蚁等害堤动物防治不到位造成生命财产损失</w:t>
      </w:r>
      <w:r>
        <w:rPr>
          <w:rFonts w:hint="eastAsia" w:cs="Times New Roman"/>
          <w:sz w:val="32"/>
          <w:highlight w:val="none"/>
          <w:lang w:eastAsia="zh-CN"/>
        </w:rPr>
        <w:t>的风险，</w:t>
      </w:r>
      <w:r>
        <w:rPr>
          <w:rFonts w:hint="eastAsia" w:ascii="Times New Roman" w:hAnsi="Times New Roman" w:eastAsia="仿宋_GB2312"/>
          <w:color w:val="auto"/>
          <w:kern w:val="2"/>
          <w:sz w:val="32"/>
          <w:highlight w:val="none"/>
          <w:u w:val="none"/>
        </w:rPr>
        <w:t>保证小型水库大坝安全运行，确保人民群众生产生活用水。</w:t>
      </w:r>
    </w:p>
    <w:p w14:paraId="03E46D57">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（2）项目实施的社会效益分析</w:t>
      </w:r>
    </w:p>
    <w:p w14:paraId="3D3EF14F">
      <w:pPr>
        <w:keepNext w:val="0"/>
        <w:keepLines w:val="0"/>
        <w:pageBreakBefore w:val="0"/>
        <w:kinsoku/>
        <w:wordWrap/>
        <w:overflowPunct/>
        <w:topLinePunct w:val="0"/>
        <w:autoSpaceDE/>
        <w:autoSpaceDN/>
        <w:bidi w:val="0"/>
        <w:adjustRightInd/>
        <w:snapToGrid/>
        <w:ind w:firstLine="640"/>
        <w:textAlignment w:val="auto"/>
        <w:rPr>
          <w:rFonts w:eastAsia="方正小标宋简体" w:cs="Times New Roman"/>
          <w:highlight w:val="none"/>
        </w:rPr>
      </w:pPr>
      <w:r>
        <w:rPr>
          <w:rFonts w:hint="eastAsia" w:cs="Times New Roman"/>
          <w:sz w:val="32"/>
          <w:highlight w:val="none"/>
        </w:rPr>
        <w:t>批复的</w:t>
      </w:r>
      <w:r>
        <w:rPr>
          <w:rFonts w:hint="default" w:ascii="Times New Roman" w:hAnsi="Times New Roman" w:cs="Times New Roman"/>
          <w:sz w:val="32"/>
          <w:szCs w:val="32"/>
          <w:highlight w:val="none"/>
        </w:rPr>
        <w:t>社会效益</w:t>
      </w:r>
      <w:r>
        <w:rPr>
          <w:rFonts w:hint="eastAsia" w:cs="Times New Roman"/>
          <w:sz w:val="32"/>
          <w:highlight w:val="none"/>
        </w:rPr>
        <w:t>指标：无。</w:t>
      </w:r>
    </w:p>
    <w:p w14:paraId="1BEA194E">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（3）项目实施的生态效益分析</w:t>
      </w:r>
    </w:p>
    <w:p w14:paraId="2802CE62">
      <w:pPr>
        <w:keepNext w:val="0"/>
        <w:keepLines w:val="0"/>
        <w:pageBreakBefore w:val="0"/>
        <w:kinsoku/>
        <w:wordWrap/>
        <w:overflowPunct/>
        <w:topLinePunct w:val="0"/>
        <w:autoSpaceDE/>
        <w:autoSpaceDN/>
        <w:bidi w:val="0"/>
        <w:adjustRightInd/>
        <w:snapToGrid/>
        <w:ind w:firstLine="640"/>
        <w:textAlignment w:val="auto"/>
        <w:rPr>
          <w:rFonts w:eastAsia="方正小标宋简体" w:cs="Times New Roman"/>
          <w:highlight w:val="none"/>
        </w:rPr>
      </w:pPr>
      <w:r>
        <w:rPr>
          <w:rFonts w:hint="eastAsia" w:cs="Times New Roman"/>
          <w:sz w:val="32"/>
          <w:highlight w:val="none"/>
        </w:rPr>
        <w:t>批复的</w:t>
      </w:r>
      <w:r>
        <w:rPr>
          <w:rFonts w:hint="default" w:ascii="Times New Roman" w:hAnsi="Times New Roman" w:cs="Times New Roman"/>
          <w:sz w:val="32"/>
          <w:szCs w:val="32"/>
          <w:highlight w:val="none"/>
        </w:rPr>
        <w:t>生态效益</w:t>
      </w:r>
      <w:r>
        <w:rPr>
          <w:rFonts w:hint="eastAsia" w:cs="Times New Roman"/>
          <w:sz w:val="32"/>
          <w:highlight w:val="none"/>
        </w:rPr>
        <w:t>指标：无。</w:t>
      </w:r>
    </w:p>
    <w:p w14:paraId="6FAA6E34">
      <w:pPr>
        <w:keepNext w:val="0"/>
        <w:keepLines w:val="0"/>
        <w:pageBreakBefore w:val="0"/>
        <w:kinsoku/>
        <w:wordWrap/>
        <w:overflowPunct/>
        <w:topLinePunct w:val="0"/>
        <w:autoSpaceDE/>
        <w:autoSpaceDN/>
        <w:bidi w:val="0"/>
        <w:adjustRightInd/>
        <w:snapToGrid/>
        <w:ind w:firstLine="640"/>
        <w:textAlignment w:val="auto"/>
        <w:rPr>
          <w:rFonts w:hint="eastAsia" w:cs="Times New Roman"/>
          <w:sz w:val="32"/>
          <w:highlight w:val="none"/>
        </w:rPr>
      </w:pPr>
      <w:r>
        <w:rPr>
          <w:rFonts w:hint="eastAsia" w:cs="Times New Roman"/>
          <w:sz w:val="32"/>
          <w:highlight w:val="none"/>
        </w:rPr>
        <w:t>通过2024年曲江区白蚁等害堤动物防治，生态效益指标完成情况为：不发生因白蚁等害堤动物防治引起的生态环境保护问题。</w:t>
      </w:r>
    </w:p>
    <w:p w14:paraId="5CC5233B">
      <w:pPr>
        <w:pStyle w:val="2"/>
      </w:pPr>
      <w:r>
        <w:rPr>
          <w:rFonts w:hint="default" w:ascii="Times New Roman" w:hAnsi="Times New Roman" w:eastAsia="仿宋_GB2312"/>
          <w:color w:val="auto"/>
          <w:kern w:val="2"/>
          <w:sz w:val="32"/>
          <w:highlight w:val="none"/>
          <w:u w:val="none"/>
        </w:rPr>
        <w:t>2024年曲江区白蚁等害堤动物防治</w:t>
      </w:r>
      <w:r>
        <w:rPr>
          <w:rFonts w:hint="eastAsia" w:ascii="Times New Roman" w:hAnsi="Times New Roman" w:eastAsia="仿宋_GB2312"/>
          <w:color w:val="auto"/>
          <w:kern w:val="2"/>
          <w:sz w:val="32"/>
          <w:highlight w:val="none"/>
          <w:u w:val="none"/>
          <w:lang w:val="en-US" w:eastAsia="zh-CN"/>
        </w:rPr>
        <w:t>项目的实施</w:t>
      </w:r>
      <w:r>
        <w:rPr>
          <w:rFonts w:hint="eastAsia"/>
          <w:color w:val="auto"/>
          <w:kern w:val="2"/>
          <w:sz w:val="32"/>
          <w:highlight w:val="none"/>
          <w:u w:val="none"/>
          <w:lang w:val="en-US" w:eastAsia="zh-CN"/>
        </w:rPr>
        <w:t>有效对白蚁等害堤动物进行防治，有利于改善生态环境质量，保障生态环境稳定，维护当地生物多样性。</w:t>
      </w:r>
    </w:p>
    <w:p w14:paraId="510545AB">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（4）项目实施的可持续影响分析</w:t>
      </w:r>
    </w:p>
    <w:p w14:paraId="62AE825D">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小型水库白蚁等害堤动物日常检查座数30座、堤防白蚁等害堤动物日常检查长度33.14公里、不发生因白蚁等害堤动物防治不到位造成生命财产损失、不发生因白蚁等害堤动物防治引起的生态环境保护问题</w:t>
      </w:r>
      <w:r>
        <w:rPr>
          <w:rFonts w:hint="eastAsia" w:cs="Times New Roman"/>
          <w:sz w:val="32"/>
          <w:szCs w:val="32"/>
          <w:highlight w:val="none"/>
          <w:lang w:eastAsia="zh-CN"/>
        </w:rPr>
        <w:t>、</w:t>
      </w:r>
      <w:r>
        <w:rPr>
          <w:rFonts w:hint="default" w:ascii="Times New Roman" w:hAnsi="Times New Roman" w:cs="Times New Roman"/>
          <w:sz w:val="32"/>
          <w:szCs w:val="32"/>
          <w:highlight w:val="none"/>
        </w:rPr>
        <w:t>已建工程良性运行。</w:t>
      </w:r>
    </w:p>
    <w:p w14:paraId="2033A113">
      <w:pPr>
        <w:keepNext w:val="0"/>
        <w:keepLines w:val="0"/>
        <w:pageBreakBefore w:val="0"/>
        <w:widowControl w:val="0"/>
        <w:kinsoku/>
        <w:wordWrap/>
        <w:overflowPunct/>
        <w:topLinePunct w:val="0"/>
        <w:autoSpaceDE/>
        <w:autoSpaceDN/>
        <w:bidi w:val="0"/>
        <w:adjustRightInd/>
        <w:snapToGrid/>
        <w:spacing w:line="360" w:lineRule="auto"/>
        <w:ind w:firstLine="640"/>
        <w:textAlignment w:val="auto"/>
        <w:outlineLvl w:val="2"/>
        <w:rPr>
          <w:rFonts w:hint="default" w:ascii="Times New Roman" w:hAnsi="Times New Roman" w:cs="Times New Roman"/>
          <w:b/>
          <w:bCs/>
          <w:sz w:val="32"/>
          <w:szCs w:val="32"/>
          <w:highlight w:val="none"/>
        </w:rPr>
      </w:pPr>
      <w:r>
        <w:rPr>
          <w:rFonts w:hint="eastAsia" w:cs="Times New Roman"/>
          <w:b/>
          <w:bCs/>
          <w:sz w:val="32"/>
          <w:szCs w:val="32"/>
          <w:highlight w:val="none"/>
          <w:lang w:val="en-US" w:eastAsia="zh-CN"/>
        </w:rPr>
        <w:t>3</w:t>
      </w:r>
      <w:r>
        <w:rPr>
          <w:rFonts w:hint="default" w:ascii="Times New Roman" w:hAnsi="Times New Roman" w:cs="Times New Roman"/>
          <w:b/>
          <w:bCs/>
          <w:sz w:val="32"/>
          <w:szCs w:val="32"/>
          <w:highlight w:val="none"/>
        </w:rPr>
        <w:t>.</w:t>
      </w:r>
      <w:r>
        <w:rPr>
          <w:rFonts w:hint="eastAsia" w:cs="Times New Roman"/>
          <w:b/>
          <w:bCs/>
          <w:sz w:val="32"/>
          <w:szCs w:val="32"/>
          <w:highlight w:val="none"/>
          <w:lang w:val="en-US" w:eastAsia="zh-CN"/>
        </w:rPr>
        <w:t>农业水价综合改革</w:t>
      </w:r>
    </w:p>
    <w:p w14:paraId="10664FC0">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（1）项目实施的经济效益分析</w:t>
      </w:r>
    </w:p>
    <w:p w14:paraId="45AABFFC">
      <w:pPr>
        <w:keepNext w:val="0"/>
        <w:keepLines w:val="0"/>
        <w:pageBreakBefore w:val="0"/>
        <w:kinsoku/>
        <w:wordWrap/>
        <w:overflowPunct/>
        <w:topLinePunct w:val="0"/>
        <w:autoSpaceDE/>
        <w:autoSpaceDN/>
        <w:bidi w:val="0"/>
        <w:adjustRightInd/>
        <w:snapToGrid/>
        <w:ind w:firstLine="640"/>
        <w:textAlignment w:val="auto"/>
        <w:rPr>
          <w:rFonts w:eastAsia="方正小标宋简体" w:cs="Times New Roman"/>
          <w:highlight w:val="none"/>
        </w:rPr>
      </w:pPr>
      <w:r>
        <w:rPr>
          <w:rFonts w:hint="eastAsia" w:cs="Times New Roman"/>
          <w:sz w:val="32"/>
          <w:highlight w:val="none"/>
        </w:rPr>
        <w:t>批复的经济效益指标：无。</w:t>
      </w:r>
    </w:p>
    <w:p w14:paraId="1D67A1E2">
      <w:pPr>
        <w:pStyle w:val="2"/>
        <w:keepNext w:val="0"/>
        <w:keepLines w:val="0"/>
        <w:pageBreakBefore w:val="0"/>
        <w:kinsoku/>
        <w:wordWrap/>
        <w:overflowPunct/>
        <w:topLinePunct w:val="0"/>
        <w:autoSpaceDE/>
        <w:autoSpaceDN/>
        <w:bidi w:val="0"/>
        <w:adjustRightInd/>
        <w:snapToGrid/>
        <w:spacing w:after="0"/>
        <w:textAlignment w:val="auto"/>
        <w:rPr>
          <w:rFonts w:hint="eastAsia" w:cs="Times New Roman"/>
          <w:sz w:val="32"/>
          <w:highlight w:val="none"/>
        </w:rPr>
      </w:pPr>
      <w:r>
        <w:rPr>
          <w:rFonts w:hint="eastAsia" w:cs="Times New Roman"/>
          <w:sz w:val="32"/>
          <w:highlight w:val="none"/>
        </w:rPr>
        <w:t>通过2024年曲江区农业水价综合改革，经济效益指标完成情况为：年度改革实施区域农业水价占运行维护成本水价的比例100%。</w:t>
      </w:r>
    </w:p>
    <w:p w14:paraId="336EB5CA">
      <w:pPr>
        <w:pStyle w:val="2"/>
        <w:keepNext w:val="0"/>
        <w:keepLines w:val="0"/>
        <w:pageBreakBefore w:val="0"/>
        <w:kinsoku/>
        <w:wordWrap/>
        <w:overflowPunct/>
        <w:topLinePunct w:val="0"/>
        <w:autoSpaceDE/>
        <w:autoSpaceDN/>
        <w:bidi w:val="0"/>
        <w:adjustRightInd/>
        <w:snapToGrid/>
        <w:spacing w:after="0"/>
        <w:textAlignment w:val="auto"/>
        <w:rPr>
          <w:rFonts w:hint="default" w:cs="Times New Roman"/>
          <w:sz w:val="32"/>
          <w:highlight w:val="none"/>
        </w:rPr>
      </w:pPr>
      <w:r>
        <w:rPr>
          <w:rFonts w:hint="eastAsia" w:cs="Times New Roman"/>
          <w:sz w:val="32"/>
          <w:highlight w:val="none"/>
        </w:rPr>
        <w:t>2024年曲江区农业水价综合改革</w:t>
      </w:r>
      <w:r>
        <w:rPr>
          <w:rFonts w:hint="eastAsia" w:cs="Times New Roman"/>
          <w:sz w:val="32"/>
          <w:highlight w:val="none"/>
          <w:lang w:eastAsia="zh-CN"/>
        </w:rPr>
        <w:t>项目的实施</w:t>
      </w:r>
      <w:r>
        <w:rPr>
          <w:rFonts w:hint="default" w:cs="Times New Roman"/>
          <w:sz w:val="32"/>
          <w:highlight w:val="none"/>
        </w:rPr>
        <w:t>确保了沿渠农业和生活用水，</w:t>
      </w:r>
      <w:r>
        <w:rPr>
          <w:rFonts w:hint="eastAsia" w:cs="Times New Roman"/>
          <w:sz w:val="32"/>
          <w:highlight w:val="none"/>
          <w:lang w:eastAsia="zh-CN"/>
        </w:rPr>
        <w:t>减少维护运营成本，</w:t>
      </w:r>
      <w:r>
        <w:rPr>
          <w:rFonts w:hint="default" w:cs="Times New Roman"/>
          <w:sz w:val="32"/>
          <w:highlight w:val="none"/>
        </w:rPr>
        <w:t>保障社会生活平稳。</w:t>
      </w:r>
    </w:p>
    <w:p w14:paraId="2930ACF8">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（2）项目实施的社会效益分析</w:t>
      </w:r>
    </w:p>
    <w:p w14:paraId="5B6ABB72">
      <w:pPr>
        <w:keepNext w:val="0"/>
        <w:keepLines w:val="0"/>
        <w:pageBreakBefore w:val="0"/>
        <w:kinsoku/>
        <w:wordWrap/>
        <w:overflowPunct/>
        <w:topLinePunct w:val="0"/>
        <w:autoSpaceDE/>
        <w:autoSpaceDN/>
        <w:bidi w:val="0"/>
        <w:adjustRightInd/>
        <w:snapToGrid/>
        <w:ind w:firstLine="640"/>
        <w:textAlignment w:val="auto"/>
        <w:rPr>
          <w:rFonts w:eastAsia="方正小标宋简体" w:cs="Times New Roman"/>
          <w:highlight w:val="none"/>
        </w:rPr>
      </w:pPr>
      <w:r>
        <w:rPr>
          <w:rFonts w:hint="eastAsia" w:cs="Times New Roman"/>
          <w:sz w:val="32"/>
          <w:highlight w:val="none"/>
        </w:rPr>
        <w:t>批复的</w:t>
      </w:r>
      <w:r>
        <w:rPr>
          <w:rFonts w:hint="default" w:ascii="Times New Roman" w:hAnsi="Times New Roman" w:cs="Times New Roman"/>
          <w:sz w:val="32"/>
          <w:szCs w:val="32"/>
          <w:highlight w:val="none"/>
        </w:rPr>
        <w:t>社会效益</w:t>
      </w:r>
      <w:r>
        <w:rPr>
          <w:rFonts w:hint="eastAsia" w:cs="Times New Roman"/>
          <w:sz w:val="32"/>
          <w:highlight w:val="none"/>
        </w:rPr>
        <w:t>指标：无。</w:t>
      </w:r>
    </w:p>
    <w:p w14:paraId="4CE9A502">
      <w:pPr>
        <w:pStyle w:val="2"/>
        <w:keepNext w:val="0"/>
        <w:keepLines w:val="0"/>
        <w:pageBreakBefore w:val="0"/>
        <w:kinsoku/>
        <w:wordWrap/>
        <w:overflowPunct/>
        <w:topLinePunct w:val="0"/>
        <w:autoSpaceDE/>
        <w:autoSpaceDN/>
        <w:bidi w:val="0"/>
        <w:adjustRightInd/>
        <w:snapToGrid/>
        <w:spacing w:after="0"/>
        <w:textAlignment w:val="auto"/>
        <w:rPr>
          <w:rFonts w:hint="eastAsia" w:cs="Times New Roman"/>
          <w:sz w:val="32"/>
          <w:highlight w:val="none"/>
          <w:lang w:val="en-US" w:eastAsia="zh-CN"/>
        </w:rPr>
      </w:pPr>
      <w:r>
        <w:rPr>
          <w:rFonts w:hint="eastAsia" w:cs="Times New Roman"/>
          <w:sz w:val="32"/>
          <w:highlight w:val="none"/>
        </w:rPr>
        <w:t>通过2024年曲江区农业水价综合改革，社会效益指标完成情况为：累计完成改革面积占改革范围的比例100%。</w:t>
      </w:r>
      <w:r>
        <w:rPr>
          <w:rFonts w:hint="eastAsia" w:cs="Times New Roman"/>
          <w:sz w:val="32"/>
          <w:highlight w:val="none"/>
          <w:lang w:val="en-US" w:eastAsia="zh-CN"/>
        </w:rPr>
        <w:t xml:space="preserve"> </w:t>
      </w:r>
    </w:p>
    <w:p w14:paraId="1BB4D11B">
      <w:pPr>
        <w:pStyle w:val="2"/>
        <w:keepNext w:val="0"/>
        <w:keepLines w:val="0"/>
        <w:pageBreakBefore w:val="0"/>
        <w:kinsoku/>
        <w:wordWrap/>
        <w:overflowPunct/>
        <w:topLinePunct w:val="0"/>
        <w:autoSpaceDE/>
        <w:autoSpaceDN/>
        <w:bidi w:val="0"/>
        <w:adjustRightInd/>
        <w:snapToGrid/>
        <w:spacing w:after="0"/>
        <w:ind w:left="0" w:leftChars="0" w:firstLine="640" w:firstLineChars="200"/>
        <w:textAlignment w:val="auto"/>
        <w:rPr>
          <w:rFonts w:hint="default" w:eastAsia="仿宋_GB2312"/>
          <w:highlight w:val="none"/>
          <w:lang w:val="en-US" w:eastAsia="zh-CN"/>
        </w:rPr>
      </w:pPr>
      <w:r>
        <w:rPr>
          <w:rFonts w:hint="eastAsia" w:cs="Times New Roman"/>
          <w:sz w:val="32"/>
          <w:highlight w:val="none"/>
          <w:lang w:val="en-US" w:eastAsia="zh-CN"/>
        </w:rPr>
        <w:t xml:space="preserve"> </w:t>
      </w:r>
      <w:r>
        <w:rPr>
          <w:rFonts w:hint="eastAsia" w:cs="Times New Roman"/>
          <w:sz w:val="32"/>
          <w:highlight w:val="none"/>
        </w:rPr>
        <w:t>2024年曲江区农业水价综合改革项目的实施</w:t>
      </w:r>
      <w:r>
        <w:rPr>
          <w:rFonts w:hint="eastAsia" w:cs="Times New Roman"/>
          <w:sz w:val="32"/>
          <w:highlight w:val="none"/>
          <w:lang w:eastAsia="zh-CN"/>
        </w:rPr>
        <w:t>实现改革面积覆盖率</w:t>
      </w:r>
      <w:r>
        <w:rPr>
          <w:rFonts w:hint="eastAsia" w:cs="Times New Roman"/>
          <w:sz w:val="32"/>
          <w:highlight w:val="none"/>
          <w:lang w:val="en-US" w:eastAsia="zh-CN"/>
        </w:rPr>
        <w:t>100%，保障农业产业用水和生活用水，给人民群众用水安全兜底。</w:t>
      </w:r>
    </w:p>
    <w:p w14:paraId="12067E5B">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（3）项目实施的生态效益分析</w:t>
      </w:r>
    </w:p>
    <w:p w14:paraId="145EBBC3">
      <w:pPr>
        <w:keepNext w:val="0"/>
        <w:keepLines w:val="0"/>
        <w:pageBreakBefore w:val="0"/>
        <w:kinsoku/>
        <w:wordWrap/>
        <w:overflowPunct/>
        <w:topLinePunct w:val="0"/>
        <w:autoSpaceDE/>
        <w:autoSpaceDN/>
        <w:bidi w:val="0"/>
        <w:adjustRightInd/>
        <w:snapToGrid/>
        <w:ind w:firstLine="640"/>
        <w:textAlignment w:val="auto"/>
        <w:rPr>
          <w:rFonts w:eastAsia="方正小标宋简体" w:cs="Times New Roman"/>
          <w:highlight w:val="none"/>
        </w:rPr>
      </w:pPr>
      <w:r>
        <w:rPr>
          <w:rFonts w:hint="eastAsia" w:cs="Times New Roman"/>
          <w:sz w:val="32"/>
          <w:highlight w:val="none"/>
        </w:rPr>
        <w:t>批复的</w:t>
      </w:r>
      <w:r>
        <w:rPr>
          <w:rFonts w:hint="default" w:ascii="Times New Roman" w:hAnsi="Times New Roman" w:cs="Times New Roman"/>
          <w:sz w:val="32"/>
          <w:szCs w:val="32"/>
          <w:highlight w:val="none"/>
        </w:rPr>
        <w:t>生态效益</w:t>
      </w:r>
      <w:r>
        <w:rPr>
          <w:rFonts w:hint="eastAsia" w:cs="Times New Roman"/>
          <w:sz w:val="32"/>
          <w:highlight w:val="none"/>
        </w:rPr>
        <w:t>指标：无。</w:t>
      </w:r>
    </w:p>
    <w:p w14:paraId="636D2098">
      <w:pPr>
        <w:pStyle w:val="2"/>
        <w:keepNext w:val="0"/>
        <w:keepLines w:val="0"/>
        <w:pageBreakBefore w:val="0"/>
        <w:kinsoku/>
        <w:wordWrap/>
        <w:overflowPunct/>
        <w:topLinePunct w:val="0"/>
        <w:autoSpaceDE/>
        <w:autoSpaceDN/>
        <w:bidi w:val="0"/>
        <w:adjustRightInd/>
        <w:snapToGrid/>
        <w:spacing w:after="0"/>
        <w:textAlignment w:val="auto"/>
        <w:rPr>
          <w:rFonts w:hint="eastAsia" w:cs="Times New Roman"/>
          <w:sz w:val="32"/>
          <w:highlight w:val="none"/>
        </w:rPr>
      </w:pPr>
      <w:r>
        <w:rPr>
          <w:rFonts w:hint="eastAsia" w:cs="Times New Roman"/>
          <w:sz w:val="32"/>
          <w:highlight w:val="none"/>
        </w:rPr>
        <w:t>通过2024年曲江区农业水价综合改革，生态效益指标完成情况为：促进农业节水。</w:t>
      </w:r>
    </w:p>
    <w:p w14:paraId="249B18EA">
      <w:pPr>
        <w:pStyle w:val="2"/>
        <w:keepNext w:val="0"/>
        <w:keepLines w:val="0"/>
        <w:pageBreakBefore w:val="0"/>
        <w:kinsoku/>
        <w:wordWrap/>
        <w:overflowPunct/>
        <w:topLinePunct w:val="0"/>
        <w:autoSpaceDE/>
        <w:autoSpaceDN/>
        <w:bidi w:val="0"/>
        <w:adjustRightInd/>
        <w:snapToGrid/>
        <w:spacing w:after="0"/>
        <w:textAlignment w:val="auto"/>
        <w:rPr>
          <w:rFonts w:hint="eastAsia" w:eastAsia="仿宋_GB2312" w:cs="Times New Roman"/>
          <w:sz w:val="32"/>
          <w:highlight w:val="none"/>
          <w:lang w:eastAsia="zh-CN"/>
        </w:rPr>
      </w:pPr>
      <w:r>
        <w:rPr>
          <w:rFonts w:hint="eastAsia" w:cs="Times New Roman"/>
          <w:sz w:val="32"/>
          <w:highlight w:val="none"/>
        </w:rPr>
        <w:t>2024年曲江区农业水价综合改革项目的实施</w:t>
      </w:r>
      <w:r>
        <w:rPr>
          <w:rFonts w:hint="eastAsia" w:cs="Times New Roman"/>
          <w:sz w:val="32"/>
          <w:highlight w:val="none"/>
          <w:lang w:eastAsia="zh-CN"/>
        </w:rPr>
        <w:t>完成对渠道清淤、防渗处理，促进农业节水。</w:t>
      </w:r>
    </w:p>
    <w:p w14:paraId="6589E822">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（4）项目实施的可持续影响分析</w:t>
      </w:r>
    </w:p>
    <w:p w14:paraId="148E75DD">
      <w:pPr>
        <w:ind w:firstLine="640"/>
        <w:rPr>
          <w:sz w:val="32"/>
          <w:szCs w:val="32"/>
          <w:highlight w:val="none"/>
        </w:rPr>
      </w:pPr>
      <w:r>
        <w:rPr>
          <w:rFonts w:hint="eastAsia"/>
          <w:sz w:val="32"/>
          <w:szCs w:val="32"/>
          <w:highlight w:val="none"/>
        </w:rPr>
        <w:t>农业水价综合改革面积3.92万亩、累计完成改革面积占改革范围的比例100%、年度改革实施区域农业水价占运行维护成本水价的比例100%、促进农业节水</w:t>
      </w:r>
      <w:r>
        <w:rPr>
          <w:rFonts w:hint="eastAsia"/>
          <w:sz w:val="32"/>
          <w:szCs w:val="32"/>
          <w:highlight w:val="none"/>
          <w:lang w:eastAsia="zh-CN"/>
        </w:rPr>
        <w:t>、</w:t>
      </w:r>
      <w:r>
        <w:rPr>
          <w:rFonts w:hint="eastAsia"/>
          <w:sz w:val="32"/>
          <w:szCs w:val="32"/>
          <w:highlight w:val="none"/>
        </w:rPr>
        <w:t>已建工程良性运行。</w:t>
      </w:r>
    </w:p>
    <w:p w14:paraId="18AB26F8">
      <w:pPr>
        <w:pStyle w:val="4"/>
        <w:pageBreakBefore w:val="0"/>
        <w:kinsoku/>
        <w:wordWrap/>
        <w:overflowPunct/>
        <w:topLinePunct w:val="0"/>
        <w:autoSpaceDE/>
        <w:autoSpaceDN/>
        <w:bidi w:val="0"/>
        <w:adjustRightInd/>
        <w:snapToGrid/>
        <w:spacing w:line="360" w:lineRule="auto"/>
        <w:ind w:firstLine="643"/>
        <w:textAlignment w:val="auto"/>
        <w:rPr>
          <w:rFonts w:hint="default" w:ascii="Times New Roman" w:hAnsi="Times New Roman" w:eastAsia="楷体_GB2312" w:cs="Times New Roman"/>
          <w:b/>
          <w:bCs w:val="0"/>
          <w:sz w:val="32"/>
          <w:highlight w:val="none"/>
        </w:rPr>
      </w:pPr>
      <w:r>
        <w:rPr>
          <w:rFonts w:hint="default" w:ascii="Times New Roman" w:hAnsi="Times New Roman" w:eastAsia="楷体_GB2312" w:cs="Times New Roman"/>
          <w:b/>
          <w:bCs w:val="0"/>
          <w:sz w:val="32"/>
          <w:highlight w:val="none"/>
        </w:rPr>
        <w:t>（</w:t>
      </w:r>
      <w:r>
        <w:rPr>
          <w:rFonts w:hint="eastAsia" w:eastAsia="楷体_GB2312" w:cs="Times New Roman"/>
          <w:b/>
          <w:bCs w:val="0"/>
          <w:sz w:val="32"/>
          <w:highlight w:val="none"/>
          <w:lang w:val="en-US" w:eastAsia="zh-CN"/>
        </w:rPr>
        <w:t>六</w:t>
      </w:r>
      <w:r>
        <w:rPr>
          <w:rFonts w:hint="default" w:ascii="Times New Roman" w:hAnsi="Times New Roman" w:eastAsia="楷体_GB2312" w:cs="Times New Roman"/>
          <w:b/>
          <w:bCs w:val="0"/>
          <w:sz w:val="32"/>
          <w:highlight w:val="none"/>
        </w:rPr>
        <w:t>）满意度指标完成情况分析</w:t>
      </w:r>
    </w:p>
    <w:p w14:paraId="58FEE140">
      <w:pPr>
        <w:ind w:firstLine="640"/>
        <w:rPr>
          <w:rFonts w:cs="Times New Roman"/>
          <w:sz w:val="32"/>
          <w:highlight w:val="none"/>
        </w:rPr>
      </w:pPr>
      <w:r>
        <w:rPr>
          <w:rFonts w:eastAsia="仿宋_GB2312"/>
          <w:sz w:val="32"/>
          <w:szCs w:val="32"/>
          <w:highlight w:val="none"/>
        </w:rPr>
        <w:t>项目实施后，项目建设（管理）单位向受益群众发放了满意度调查问卷，</w:t>
      </w:r>
      <w:r>
        <w:rPr>
          <w:rFonts w:hint="eastAsia" w:cs="Times New Roman"/>
          <w:sz w:val="32"/>
          <w:highlight w:val="none"/>
        </w:rPr>
        <w:t>共发放调查问卷</w:t>
      </w:r>
      <w:r>
        <w:rPr>
          <w:rFonts w:hint="eastAsia" w:cs="Times New Roman"/>
          <w:sz w:val="32"/>
          <w:highlight w:val="none"/>
          <w:u w:val="single"/>
          <w:lang w:val="en-US" w:eastAsia="zh-CN"/>
        </w:rPr>
        <w:t>40</w:t>
      </w:r>
      <w:r>
        <w:rPr>
          <w:rFonts w:hint="eastAsia" w:cs="Times New Roman"/>
          <w:sz w:val="32"/>
          <w:highlight w:val="none"/>
        </w:rPr>
        <w:t>份，平均满意度为：</w:t>
      </w:r>
      <w:r>
        <w:rPr>
          <w:rFonts w:hint="eastAsia" w:cs="Times New Roman"/>
          <w:sz w:val="32"/>
          <w:highlight w:val="none"/>
          <w:u w:val="single"/>
          <w:lang w:val="en-US" w:eastAsia="zh-CN"/>
        </w:rPr>
        <w:t>100</w:t>
      </w:r>
      <w:r>
        <w:rPr>
          <w:rFonts w:hint="eastAsia" w:cs="Times New Roman"/>
          <w:sz w:val="32"/>
          <w:highlight w:val="none"/>
        </w:rPr>
        <w:t>%，</w:t>
      </w:r>
      <w:r>
        <w:rPr>
          <w:rFonts w:hint="eastAsia" w:cs="Times New Roman"/>
          <w:sz w:val="32"/>
          <w:highlight w:val="none"/>
          <w:u w:val="single"/>
        </w:rPr>
        <w:t>能</w:t>
      </w:r>
      <w:r>
        <w:rPr>
          <w:rFonts w:hint="eastAsia" w:cs="Times New Roman"/>
          <w:sz w:val="32"/>
          <w:highlight w:val="none"/>
        </w:rPr>
        <w:t>达到年度目标值（</w:t>
      </w:r>
      <w:r>
        <w:rPr>
          <w:rFonts w:eastAsia="仿宋_GB2312"/>
          <w:sz w:val="32"/>
          <w:szCs w:val="32"/>
          <w:highlight w:val="none"/>
        </w:rPr>
        <w:t>受</w:t>
      </w:r>
      <w:r>
        <w:rPr>
          <w:rFonts w:hint="eastAsia" w:cs="Times New Roman"/>
          <w:sz w:val="32"/>
          <w:highlight w:val="none"/>
        </w:rPr>
        <w:t>益群众满意度≥90%）。</w:t>
      </w:r>
    </w:p>
    <w:p w14:paraId="25E23B01">
      <w:pPr>
        <w:pageBreakBefore w:val="0"/>
        <w:kinsoku/>
        <w:wordWrap/>
        <w:overflowPunct/>
        <w:topLinePunct w:val="0"/>
        <w:autoSpaceDE/>
        <w:autoSpaceDN/>
        <w:bidi w:val="0"/>
        <w:adjustRightInd/>
        <w:snapToGrid/>
        <w:spacing w:line="572" w:lineRule="exact"/>
        <w:ind w:firstLine="0" w:firstLineChars="0"/>
        <w:jc w:val="center"/>
        <w:textAlignment w:val="auto"/>
        <w:rPr>
          <w:rFonts w:hint="default" w:ascii="Times New Roman" w:hAnsi="Times New Roman" w:cs="Times New Roman"/>
          <w:highlight w:val="none"/>
        </w:rPr>
      </w:pPr>
      <w:r>
        <w:rPr>
          <w:rFonts w:hint="default" w:ascii="Times New Roman" w:hAnsi="Times New Roman" w:cs="Times New Roman"/>
          <w:highlight w:val="none"/>
        </w:rPr>
        <w:t>表</w:t>
      </w:r>
      <w:r>
        <w:rPr>
          <w:rFonts w:hint="eastAsia" w:cs="Times New Roman"/>
          <w:highlight w:val="none"/>
          <w:lang w:val="en-US" w:eastAsia="zh-CN"/>
        </w:rPr>
        <w:t>6</w:t>
      </w:r>
      <w:r>
        <w:rPr>
          <w:rFonts w:hint="default" w:ascii="Times New Roman" w:hAnsi="Times New Roman" w:cs="Times New Roman"/>
          <w:highlight w:val="none"/>
        </w:rPr>
        <w:t xml:space="preserve">  202</w:t>
      </w:r>
      <w:r>
        <w:rPr>
          <w:rFonts w:hint="eastAsia" w:cs="Times New Roman"/>
          <w:highlight w:val="none"/>
          <w:lang w:val="en-US" w:eastAsia="zh-CN"/>
        </w:rPr>
        <w:t>4</w:t>
      </w:r>
      <w:r>
        <w:rPr>
          <w:rFonts w:hint="default" w:ascii="Times New Roman" w:hAnsi="Times New Roman" w:cs="Times New Roman"/>
          <w:highlight w:val="none"/>
        </w:rPr>
        <w:t>年度水利发展资金项目实施满意度调查情况汇总表</w:t>
      </w:r>
    </w:p>
    <w:tbl>
      <w:tblPr>
        <w:tblStyle w:val="13"/>
        <w:tblW w:w="8522" w:type="dxa"/>
        <w:tblInd w:w="0" w:type="dxa"/>
        <w:tblLayout w:type="fixed"/>
        <w:tblCellMar>
          <w:top w:w="0" w:type="dxa"/>
          <w:left w:w="108" w:type="dxa"/>
          <w:bottom w:w="0" w:type="dxa"/>
          <w:right w:w="108" w:type="dxa"/>
        </w:tblCellMar>
      </w:tblPr>
      <w:tblGrid>
        <w:gridCol w:w="2337"/>
        <w:gridCol w:w="2149"/>
        <w:gridCol w:w="2458"/>
        <w:gridCol w:w="1578"/>
      </w:tblGrid>
      <w:tr w14:paraId="1A7F3703">
        <w:tblPrEx>
          <w:tblCellMar>
            <w:top w:w="0" w:type="dxa"/>
            <w:left w:w="108" w:type="dxa"/>
            <w:bottom w:w="0" w:type="dxa"/>
            <w:right w:w="108" w:type="dxa"/>
          </w:tblCellMar>
        </w:tblPrEx>
        <w:trPr>
          <w:trHeight w:val="480" w:hRule="atLeast"/>
        </w:trPr>
        <w:tc>
          <w:tcPr>
            <w:tcW w:w="2337" w:type="dxa"/>
            <w:tcBorders>
              <w:top w:val="single" w:color="auto" w:sz="4" w:space="0"/>
              <w:left w:val="single" w:color="auto" w:sz="4" w:space="0"/>
              <w:bottom w:val="single" w:color="auto" w:sz="4" w:space="0"/>
              <w:right w:val="single" w:color="auto" w:sz="4" w:space="0"/>
            </w:tcBorders>
            <w:shd w:val="clear" w:color="auto" w:fill="auto"/>
            <w:vAlign w:val="center"/>
          </w:tcPr>
          <w:p w14:paraId="38E079D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firstLine="0" w:firstLineChars="0"/>
              <w:jc w:val="center"/>
              <w:textAlignment w:val="auto"/>
              <w:rPr>
                <w:rFonts w:hint="default" w:ascii="Times New Roman" w:hAnsi="Times New Roman" w:cs="Times New Roman"/>
                <w:color w:val="000000"/>
                <w:kern w:val="0"/>
                <w:sz w:val="18"/>
                <w:szCs w:val="18"/>
                <w:highlight w:val="none"/>
              </w:rPr>
            </w:pPr>
            <w:r>
              <w:rPr>
                <w:rFonts w:hint="eastAsia" w:ascii="仿宋_GB2312" w:hAnsi="宋体"/>
                <w:kern w:val="0"/>
                <w:sz w:val="18"/>
                <w:szCs w:val="18"/>
                <w:highlight w:val="none"/>
                <w:lang w:val="en-US" w:eastAsia="zh-CN"/>
              </w:rPr>
              <w:t>分类</w:t>
            </w:r>
          </w:p>
        </w:tc>
        <w:tc>
          <w:tcPr>
            <w:tcW w:w="2149" w:type="dxa"/>
            <w:tcBorders>
              <w:top w:val="single" w:color="auto" w:sz="4" w:space="0"/>
              <w:left w:val="nil"/>
              <w:bottom w:val="single" w:color="auto" w:sz="4" w:space="0"/>
              <w:right w:val="single" w:color="auto" w:sz="4" w:space="0"/>
            </w:tcBorders>
            <w:shd w:val="clear" w:color="auto" w:fill="auto"/>
            <w:vAlign w:val="center"/>
          </w:tcPr>
          <w:p w14:paraId="2E3282B2">
            <w:pPr>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Times New Roman"/>
                <w:color w:val="000000"/>
                <w:kern w:val="0"/>
                <w:sz w:val="18"/>
                <w:szCs w:val="18"/>
                <w:highlight w:val="none"/>
              </w:rPr>
            </w:pPr>
            <w:r>
              <w:rPr>
                <w:rFonts w:hint="default" w:ascii="Times New Roman" w:hAnsi="Times New Roman" w:cs="Times New Roman"/>
                <w:color w:val="000000"/>
                <w:kern w:val="0"/>
                <w:sz w:val="18"/>
                <w:szCs w:val="18"/>
                <w:highlight w:val="none"/>
              </w:rPr>
              <w:t>调查问卷数（份）</w:t>
            </w:r>
          </w:p>
        </w:tc>
        <w:tc>
          <w:tcPr>
            <w:tcW w:w="2458" w:type="dxa"/>
            <w:tcBorders>
              <w:top w:val="single" w:color="auto" w:sz="4" w:space="0"/>
              <w:left w:val="nil"/>
              <w:bottom w:val="single" w:color="auto" w:sz="4" w:space="0"/>
              <w:right w:val="single" w:color="auto" w:sz="4" w:space="0"/>
            </w:tcBorders>
            <w:shd w:val="clear" w:color="auto" w:fill="auto"/>
            <w:vAlign w:val="center"/>
          </w:tcPr>
          <w:p w14:paraId="2AEC6646">
            <w:pPr>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Times New Roman"/>
                <w:color w:val="000000"/>
                <w:kern w:val="0"/>
                <w:sz w:val="18"/>
                <w:szCs w:val="18"/>
                <w:highlight w:val="none"/>
              </w:rPr>
            </w:pPr>
            <w:r>
              <w:rPr>
                <w:rFonts w:hint="default" w:ascii="Times New Roman" w:hAnsi="Times New Roman" w:cs="Times New Roman"/>
                <w:color w:val="000000"/>
                <w:kern w:val="0"/>
                <w:sz w:val="18"/>
                <w:szCs w:val="18"/>
                <w:highlight w:val="none"/>
              </w:rPr>
              <w:t>平均满意度（分）</w:t>
            </w:r>
          </w:p>
        </w:tc>
        <w:tc>
          <w:tcPr>
            <w:tcW w:w="1578" w:type="dxa"/>
            <w:tcBorders>
              <w:top w:val="single" w:color="auto" w:sz="4" w:space="0"/>
              <w:left w:val="nil"/>
              <w:bottom w:val="single" w:color="auto" w:sz="4" w:space="0"/>
              <w:right w:val="single" w:color="auto" w:sz="4" w:space="0"/>
            </w:tcBorders>
            <w:shd w:val="clear" w:color="auto" w:fill="auto"/>
            <w:vAlign w:val="center"/>
          </w:tcPr>
          <w:p w14:paraId="2FC7598F">
            <w:pPr>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Times New Roman"/>
                <w:color w:val="000000"/>
                <w:kern w:val="0"/>
                <w:sz w:val="18"/>
                <w:szCs w:val="18"/>
                <w:highlight w:val="none"/>
              </w:rPr>
            </w:pPr>
            <w:r>
              <w:rPr>
                <w:rFonts w:hint="default" w:ascii="Times New Roman" w:hAnsi="Times New Roman" w:cs="Times New Roman"/>
                <w:color w:val="000000"/>
                <w:kern w:val="0"/>
                <w:sz w:val="18"/>
                <w:szCs w:val="18"/>
                <w:highlight w:val="none"/>
              </w:rPr>
              <w:t>备注</w:t>
            </w:r>
          </w:p>
        </w:tc>
      </w:tr>
      <w:tr w14:paraId="6E155461">
        <w:tblPrEx>
          <w:tblCellMar>
            <w:top w:w="0" w:type="dxa"/>
            <w:left w:w="108" w:type="dxa"/>
            <w:bottom w:w="0" w:type="dxa"/>
            <w:right w:w="108" w:type="dxa"/>
          </w:tblCellMar>
        </w:tblPrEx>
        <w:trPr>
          <w:trHeight w:val="288" w:hRule="atLeast"/>
        </w:trPr>
        <w:tc>
          <w:tcPr>
            <w:tcW w:w="2337" w:type="dxa"/>
            <w:tcBorders>
              <w:top w:val="nil"/>
              <w:left w:val="single" w:color="auto" w:sz="4" w:space="0"/>
              <w:bottom w:val="single" w:color="auto" w:sz="4" w:space="0"/>
              <w:right w:val="single" w:color="auto" w:sz="4" w:space="0"/>
            </w:tcBorders>
            <w:shd w:val="clear" w:color="auto" w:fill="auto"/>
            <w:vAlign w:val="center"/>
          </w:tcPr>
          <w:p w14:paraId="0EAAF8A2">
            <w:pPr>
              <w:keepNext w:val="0"/>
              <w:keepLines w:val="0"/>
              <w:widowControl/>
              <w:suppressLineNumbers w:val="0"/>
              <w:spacing w:before="0" w:beforeAutospacing="0" w:after="0" w:afterAutospacing="0" w:line="260" w:lineRule="exact"/>
              <w:ind w:left="0" w:right="0" w:firstLine="0" w:firstLineChars="0"/>
              <w:jc w:val="center"/>
              <w:rPr>
                <w:rFonts w:hint="default" w:ascii="Times New Roman" w:hAnsi="Times New Roman" w:eastAsia="仿宋_GB2312" w:cs="Times New Roman"/>
                <w:color w:val="000000"/>
                <w:kern w:val="0"/>
                <w:sz w:val="18"/>
                <w:szCs w:val="18"/>
                <w:highlight w:val="none"/>
                <w:lang w:val="en-US" w:eastAsia="zh-CN"/>
              </w:rPr>
            </w:pPr>
            <w:r>
              <w:rPr>
                <w:rFonts w:hint="eastAsia" w:cs="Times New Roman"/>
                <w:color w:val="000000"/>
                <w:kern w:val="0"/>
                <w:sz w:val="18"/>
                <w:szCs w:val="18"/>
                <w:highlight w:val="none"/>
                <w:lang w:val="en-US" w:eastAsia="zh-CN"/>
              </w:rPr>
              <w:t>合计</w:t>
            </w:r>
          </w:p>
        </w:tc>
        <w:tc>
          <w:tcPr>
            <w:tcW w:w="2149" w:type="dxa"/>
            <w:tcBorders>
              <w:top w:val="nil"/>
              <w:left w:val="nil"/>
              <w:bottom w:val="single" w:color="auto" w:sz="4" w:space="0"/>
              <w:right w:val="single" w:color="auto" w:sz="4" w:space="0"/>
            </w:tcBorders>
            <w:shd w:val="clear" w:color="auto" w:fill="auto"/>
            <w:vAlign w:val="center"/>
          </w:tcPr>
          <w:p w14:paraId="0E8867BC">
            <w:pPr>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eastAsia="仿宋_GB2312" w:cs="Times New Roman"/>
                <w:color w:val="000000"/>
                <w:kern w:val="0"/>
                <w:sz w:val="18"/>
                <w:szCs w:val="18"/>
                <w:highlight w:val="none"/>
                <w:lang w:val="en-US" w:eastAsia="zh-CN"/>
              </w:rPr>
            </w:pPr>
            <w:r>
              <w:rPr>
                <w:rFonts w:hint="eastAsia" w:cs="Times New Roman"/>
                <w:color w:val="000000"/>
                <w:kern w:val="0"/>
                <w:sz w:val="18"/>
                <w:szCs w:val="18"/>
                <w:highlight w:val="none"/>
                <w:lang w:val="en-US" w:eastAsia="zh-CN"/>
              </w:rPr>
              <w:t>40</w:t>
            </w:r>
          </w:p>
        </w:tc>
        <w:tc>
          <w:tcPr>
            <w:tcW w:w="2458" w:type="dxa"/>
            <w:tcBorders>
              <w:top w:val="nil"/>
              <w:left w:val="nil"/>
              <w:bottom w:val="single" w:color="auto" w:sz="4" w:space="0"/>
              <w:right w:val="single" w:color="auto" w:sz="4" w:space="0"/>
            </w:tcBorders>
            <w:shd w:val="clear" w:color="auto" w:fill="auto"/>
            <w:vAlign w:val="center"/>
          </w:tcPr>
          <w:p w14:paraId="7AC0A3BF">
            <w:pPr>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eastAsia="仿宋_GB2312" w:cs="Times New Roman"/>
                <w:color w:val="000000"/>
                <w:kern w:val="0"/>
                <w:sz w:val="18"/>
                <w:szCs w:val="18"/>
                <w:highlight w:val="none"/>
                <w:lang w:val="en-US" w:eastAsia="zh-CN"/>
              </w:rPr>
            </w:pPr>
            <w:r>
              <w:rPr>
                <w:rFonts w:hint="eastAsia" w:cs="Times New Roman"/>
                <w:color w:val="000000"/>
                <w:kern w:val="0"/>
                <w:sz w:val="18"/>
                <w:szCs w:val="18"/>
                <w:highlight w:val="none"/>
                <w:lang w:val="en-US" w:eastAsia="zh-CN"/>
              </w:rPr>
              <w:t>100%</w:t>
            </w:r>
          </w:p>
        </w:tc>
        <w:tc>
          <w:tcPr>
            <w:tcW w:w="1578" w:type="dxa"/>
            <w:tcBorders>
              <w:top w:val="nil"/>
              <w:left w:val="nil"/>
              <w:bottom w:val="single" w:color="auto" w:sz="4" w:space="0"/>
              <w:right w:val="single" w:color="auto" w:sz="4" w:space="0"/>
            </w:tcBorders>
            <w:shd w:val="clear" w:color="auto" w:fill="auto"/>
            <w:vAlign w:val="center"/>
          </w:tcPr>
          <w:p w14:paraId="0FC7309C">
            <w:pPr>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Times New Roman"/>
                <w:color w:val="000000"/>
                <w:kern w:val="0"/>
                <w:sz w:val="18"/>
                <w:szCs w:val="18"/>
                <w:highlight w:val="none"/>
              </w:rPr>
            </w:pPr>
          </w:p>
        </w:tc>
      </w:tr>
      <w:tr w14:paraId="4A7ADBCF">
        <w:tblPrEx>
          <w:tblCellMar>
            <w:top w:w="0" w:type="dxa"/>
            <w:left w:w="108" w:type="dxa"/>
            <w:bottom w:w="0" w:type="dxa"/>
            <w:right w:w="108" w:type="dxa"/>
          </w:tblCellMar>
        </w:tblPrEx>
        <w:tc>
          <w:tcPr>
            <w:tcBorders>
              <w:top w:val="single" w:color="auto" w:sz="4" w:space="0"/>
              <w:left w:val="single" w:color="auto" w:sz="4" w:space="0"/>
              <w:bottom w:val="single" w:color="auto" w:sz="4" w:space="0"/>
              <w:right w:val="single" w:color="auto" w:sz="4" w:space="0"/>
            </w:tcBorders>
          </w:tcPr>
          <w:p w14:paraId="0931F5F8">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小型水库维修养护</w:t>
            </w:r>
          </w:p>
        </w:tc>
        <w:tc>
          <w:tcPr>
            <w:tcBorders>
              <w:top w:val="single" w:color="auto" w:sz="4" w:space="0"/>
              <w:left w:val="single" w:color="auto" w:sz="4" w:space="0"/>
              <w:bottom w:val="single" w:color="auto" w:sz="4" w:space="0"/>
              <w:right w:val="single" w:color="auto" w:sz="4" w:space="0"/>
            </w:tcBorders>
          </w:tcPr>
          <w:p w14:paraId="7FF47E85">
            <w:pPr>
              <w:keepNext w:val="0"/>
              <w:keepLines w:val="0"/>
              <w:widowControl/>
              <w:suppressLineNumbers w:val="0"/>
              <w:spacing w:before="0" w:beforeAutospacing="0" w:after="0" w:afterAutospacing="0" w:line="240" w:lineRule="auto"/>
              <w:ind w:left="0" w:right="0" w:firstLine="0" w:firstLineChars="0"/>
              <w:jc w:val="center"/>
              <w:rPr>
                <w:rFonts w:hint="default" w:eastAsia="仿宋_GB2312"/>
                <w:lang w:val="en-US" w:eastAsia="zh-CN"/>
              </w:rPr>
            </w:pPr>
            <w:r>
              <w:rPr>
                <w:rFonts w:hint="eastAsia" w:cs="Times New Roman"/>
                <w:color w:val="000000"/>
                <w:kern w:val="0"/>
                <w:sz w:val="18"/>
                <w:szCs w:val="18"/>
                <w:highlight w:val="none"/>
                <w:lang w:val="en-US" w:eastAsia="zh-CN"/>
              </w:rPr>
              <w:t>10</w:t>
            </w:r>
          </w:p>
        </w:tc>
        <w:tc>
          <w:tcPr>
            <w:tcBorders>
              <w:top w:val="single" w:color="auto" w:sz="4" w:space="0"/>
              <w:left w:val="single" w:color="auto" w:sz="4" w:space="0"/>
              <w:bottom w:val="single" w:color="auto" w:sz="4" w:space="0"/>
              <w:right w:val="single" w:color="auto" w:sz="4" w:space="0"/>
            </w:tcBorders>
          </w:tcPr>
          <w:p w14:paraId="7E647A53">
            <w:pPr>
              <w:keepNext w:val="0"/>
              <w:keepLines w:val="0"/>
              <w:widowControl/>
              <w:suppressLineNumbers w:val="0"/>
              <w:spacing w:before="0" w:beforeAutospacing="0" w:after="0" w:afterAutospacing="0" w:line="240" w:lineRule="auto"/>
              <w:ind w:left="0" w:right="0" w:firstLine="0" w:firstLineChars="0"/>
              <w:jc w:val="center"/>
              <w:rPr>
                <w:rFonts w:hint="default" w:cs="Times New Roman"/>
                <w:color w:val="000000"/>
                <w:kern w:val="0"/>
                <w:sz w:val="18"/>
                <w:szCs w:val="18"/>
                <w:highlight w:val="none"/>
                <w:lang w:val="en-US" w:eastAsia="zh-CN"/>
              </w:rPr>
            </w:pPr>
            <w:r>
              <w:rPr>
                <w:rFonts w:hint="eastAsia" w:cs="Times New Roman"/>
                <w:color w:val="000000"/>
                <w:kern w:val="0"/>
                <w:sz w:val="18"/>
                <w:szCs w:val="18"/>
                <w:highlight w:val="none"/>
                <w:lang w:val="en-US" w:eastAsia="zh-CN"/>
              </w:rPr>
              <w:t>100%</w:t>
            </w:r>
          </w:p>
        </w:tc>
        <w:tc>
          <w:tcPr>
            <w:tcBorders>
              <w:top w:val="single" w:color="auto" w:sz="4" w:space="0"/>
              <w:left w:val="single" w:color="auto" w:sz="4" w:space="0"/>
              <w:bottom w:val="single" w:color="auto" w:sz="4" w:space="0"/>
              <w:right w:val="single" w:color="auto" w:sz="4" w:space="0"/>
            </w:tcBorders>
          </w:tcPr>
          <w:p w14:paraId="48D01D29">
            <w:pPr>
              <w:keepNext w:val="0"/>
              <w:keepLines w:val="0"/>
              <w:widowControl/>
              <w:suppressLineNumbers w:val="0"/>
              <w:spacing w:before="0" w:beforeAutospacing="0" w:after="0" w:afterAutospacing="0" w:line="180" w:lineRule="auto"/>
              <w:ind w:left="0" w:right="0" w:firstLine="0"/>
              <w:jc w:val="center"/>
              <w:rPr>
                <w:rFonts w:hint="default"/>
              </w:rPr>
            </w:pPr>
          </w:p>
        </w:tc>
      </w:tr>
      <w:tr w14:paraId="00E80438">
        <w:tblPrEx>
          <w:tblCellMar>
            <w:top w:w="0" w:type="dxa"/>
            <w:left w:w="108" w:type="dxa"/>
            <w:bottom w:w="0" w:type="dxa"/>
            <w:right w:w="108" w:type="dxa"/>
          </w:tblCellMar>
        </w:tblPrEx>
        <w:tc>
          <w:tcPr>
            <w:tcBorders>
              <w:top w:val="single" w:color="auto" w:sz="4" w:space="0"/>
              <w:left w:val="single" w:color="auto" w:sz="4" w:space="0"/>
              <w:bottom w:val="single" w:color="auto" w:sz="4" w:space="0"/>
              <w:right w:val="single" w:color="auto" w:sz="4" w:space="0"/>
            </w:tcBorders>
          </w:tcPr>
          <w:p w14:paraId="6EC1E43B">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白蚁防治</w:t>
            </w:r>
          </w:p>
        </w:tc>
        <w:tc>
          <w:tcPr>
            <w:tcBorders>
              <w:top w:val="single" w:color="auto" w:sz="4" w:space="0"/>
              <w:left w:val="single" w:color="auto" w:sz="4" w:space="0"/>
              <w:bottom w:val="single" w:color="auto" w:sz="4" w:space="0"/>
              <w:right w:val="single" w:color="auto" w:sz="4" w:space="0"/>
            </w:tcBorders>
          </w:tcPr>
          <w:p w14:paraId="0CC45DBD">
            <w:pPr>
              <w:keepNext w:val="0"/>
              <w:keepLines w:val="0"/>
              <w:widowControl/>
              <w:suppressLineNumbers w:val="0"/>
              <w:spacing w:before="0" w:beforeAutospacing="0" w:after="0" w:afterAutospacing="0" w:line="240" w:lineRule="auto"/>
              <w:ind w:left="0" w:right="0" w:firstLine="0" w:firstLineChars="0"/>
              <w:jc w:val="center"/>
              <w:rPr>
                <w:rFonts w:hint="default" w:eastAsia="仿宋_GB2312"/>
                <w:lang w:val="en-US" w:eastAsia="zh-CN"/>
              </w:rPr>
            </w:pPr>
            <w:r>
              <w:rPr>
                <w:rFonts w:hint="eastAsia" w:cs="Times New Roman"/>
                <w:color w:val="000000"/>
                <w:kern w:val="0"/>
                <w:sz w:val="18"/>
                <w:szCs w:val="18"/>
                <w:highlight w:val="none"/>
                <w:lang w:val="en-US" w:eastAsia="zh-CN"/>
              </w:rPr>
              <w:t>20</w:t>
            </w:r>
          </w:p>
        </w:tc>
        <w:tc>
          <w:tcPr>
            <w:tcBorders>
              <w:top w:val="single" w:color="auto" w:sz="4" w:space="0"/>
              <w:left w:val="single" w:color="auto" w:sz="4" w:space="0"/>
              <w:bottom w:val="single" w:color="auto" w:sz="4" w:space="0"/>
              <w:right w:val="single" w:color="auto" w:sz="4" w:space="0"/>
            </w:tcBorders>
          </w:tcPr>
          <w:p w14:paraId="35C90C40">
            <w:pPr>
              <w:keepNext w:val="0"/>
              <w:keepLines w:val="0"/>
              <w:widowControl/>
              <w:suppressLineNumbers w:val="0"/>
              <w:spacing w:before="0" w:beforeAutospacing="0" w:after="0" w:afterAutospacing="0" w:line="240" w:lineRule="auto"/>
              <w:ind w:left="0" w:right="0" w:firstLine="0" w:firstLineChars="0"/>
              <w:jc w:val="center"/>
              <w:rPr>
                <w:rFonts w:hint="default" w:cs="Times New Roman"/>
                <w:color w:val="000000"/>
                <w:kern w:val="0"/>
                <w:sz w:val="18"/>
                <w:szCs w:val="18"/>
                <w:highlight w:val="none"/>
                <w:lang w:val="en-US" w:eastAsia="zh-CN"/>
              </w:rPr>
            </w:pPr>
            <w:r>
              <w:rPr>
                <w:rFonts w:hint="eastAsia" w:cs="Times New Roman"/>
                <w:color w:val="000000"/>
                <w:kern w:val="0"/>
                <w:sz w:val="18"/>
                <w:szCs w:val="18"/>
                <w:highlight w:val="none"/>
                <w:lang w:val="en-US" w:eastAsia="zh-CN"/>
              </w:rPr>
              <w:t>100%</w:t>
            </w:r>
          </w:p>
        </w:tc>
        <w:tc>
          <w:tcPr>
            <w:tcBorders>
              <w:top w:val="single" w:color="auto" w:sz="4" w:space="0"/>
              <w:left w:val="single" w:color="auto" w:sz="4" w:space="0"/>
              <w:bottom w:val="single" w:color="auto" w:sz="4" w:space="0"/>
              <w:right w:val="single" w:color="auto" w:sz="4" w:space="0"/>
            </w:tcBorders>
          </w:tcPr>
          <w:p w14:paraId="59178438">
            <w:pPr>
              <w:keepNext w:val="0"/>
              <w:keepLines w:val="0"/>
              <w:widowControl/>
              <w:suppressLineNumbers w:val="0"/>
              <w:spacing w:before="0" w:beforeAutospacing="0" w:after="0" w:afterAutospacing="0" w:line="180" w:lineRule="auto"/>
              <w:ind w:left="0" w:right="0" w:firstLine="0"/>
              <w:jc w:val="center"/>
              <w:rPr>
                <w:rFonts w:hint="default"/>
              </w:rPr>
            </w:pPr>
          </w:p>
        </w:tc>
      </w:tr>
      <w:tr w14:paraId="3C283FB8">
        <w:tblPrEx>
          <w:tblCellMar>
            <w:top w:w="0" w:type="dxa"/>
            <w:left w:w="108" w:type="dxa"/>
            <w:bottom w:w="0" w:type="dxa"/>
            <w:right w:w="108" w:type="dxa"/>
          </w:tblCellMar>
        </w:tblPrEx>
        <w:tc>
          <w:tcPr>
            <w:tcBorders>
              <w:top w:val="single" w:color="auto" w:sz="4" w:space="0"/>
              <w:left w:val="single" w:color="auto" w:sz="4" w:space="0"/>
              <w:bottom w:val="single" w:color="auto" w:sz="4" w:space="0"/>
              <w:right w:val="single" w:color="auto" w:sz="4" w:space="0"/>
            </w:tcBorders>
          </w:tcPr>
          <w:p w14:paraId="63C25F1D">
            <w:pPr>
              <w:keepNext w:val="0"/>
              <w:keepLines w:val="0"/>
              <w:widowControl/>
              <w:suppressLineNumbers w:val="0"/>
              <w:spacing w:before="0" w:beforeAutospacing="0" w:after="0" w:afterAutospacing="0" w:line="180" w:lineRule="auto"/>
              <w:ind w:left="0" w:right="0" w:firstLine="0"/>
              <w:jc w:val="center"/>
              <w:rPr>
                <w:rFonts w:hint="default"/>
              </w:rPr>
            </w:pPr>
            <w:r>
              <w:rPr>
                <w:rFonts w:hint="default" w:ascii="仿宋_GB2312" w:hAnsi="仿宋_GB2312" w:eastAsia="仿宋_GB2312" w:cs="仿宋_GB2312"/>
                <w:sz w:val="18"/>
              </w:rPr>
              <w:t>农业水价综合改革</w:t>
            </w:r>
          </w:p>
        </w:tc>
        <w:tc>
          <w:tcPr>
            <w:tcBorders>
              <w:top w:val="single" w:color="auto" w:sz="4" w:space="0"/>
              <w:left w:val="single" w:color="auto" w:sz="4" w:space="0"/>
              <w:bottom w:val="single" w:color="auto" w:sz="4" w:space="0"/>
              <w:right w:val="single" w:color="auto" w:sz="4" w:space="0"/>
            </w:tcBorders>
          </w:tcPr>
          <w:p w14:paraId="60C7B00B">
            <w:pPr>
              <w:keepNext w:val="0"/>
              <w:keepLines w:val="0"/>
              <w:widowControl/>
              <w:suppressLineNumbers w:val="0"/>
              <w:spacing w:before="0" w:beforeAutospacing="0" w:after="0" w:afterAutospacing="0" w:line="240" w:lineRule="auto"/>
              <w:ind w:left="0" w:right="0" w:firstLine="0" w:firstLineChars="0"/>
              <w:jc w:val="center"/>
              <w:rPr>
                <w:rFonts w:hint="default" w:cs="Times New Roman"/>
                <w:color w:val="000000"/>
                <w:kern w:val="0"/>
                <w:sz w:val="18"/>
                <w:szCs w:val="18"/>
                <w:highlight w:val="none"/>
                <w:lang w:val="en-US" w:eastAsia="zh-CN"/>
              </w:rPr>
            </w:pPr>
            <w:r>
              <w:rPr>
                <w:rFonts w:hint="eastAsia" w:cs="Times New Roman"/>
                <w:color w:val="000000"/>
                <w:kern w:val="0"/>
                <w:sz w:val="18"/>
                <w:szCs w:val="18"/>
                <w:highlight w:val="none"/>
                <w:lang w:val="en-US" w:eastAsia="zh-CN"/>
              </w:rPr>
              <w:t>10</w:t>
            </w:r>
          </w:p>
        </w:tc>
        <w:tc>
          <w:tcPr>
            <w:tcBorders>
              <w:top w:val="single" w:color="auto" w:sz="4" w:space="0"/>
              <w:left w:val="single" w:color="auto" w:sz="4" w:space="0"/>
              <w:bottom w:val="single" w:color="auto" w:sz="4" w:space="0"/>
              <w:right w:val="single" w:color="auto" w:sz="4" w:space="0"/>
            </w:tcBorders>
          </w:tcPr>
          <w:p w14:paraId="31192A88">
            <w:pPr>
              <w:keepNext w:val="0"/>
              <w:keepLines w:val="0"/>
              <w:widowControl/>
              <w:suppressLineNumbers w:val="0"/>
              <w:spacing w:before="0" w:beforeAutospacing="0" w:after="0" w:afterAutospacing="0" w:line="240" w:lineRule="auto"/>
              <w:ind w:left="0" w:right="0" w:firstLine="0" w:firstLineChars="0"/>
              <w:jc w:val="center"/>
              <w:rPr>
                <w:rFonts w:hint="default" w:cs="Times New Roman"/>
                <w:color w:val="000000"/>
                <w:kern w:val="0"/>
                <w:sz w:val="18"/>
                <w:szCs w:val="18"/>
                <w:highlight w:val="none"/>
                <w:lang w:val="en-US" w:eastAsia="zh-CN"/>
              </w:rPr>
            </w:pPr>
            <w:r>
              <w:rPr>
                <w:rFonts w:hint="eastAsia" w:cs="Times New Roman"/>
                <w:color w:val="000000"/>
                <w:kern w:val="0"/>
                <w:sz w:val="18"/>
                <w:szCs w:val="18"/>
                <w:highlight w:val="none"/>
                <w:lang w:val="en-US" w:eastAsia="zh-CN"/>
              </w:rPr>
              <w:t>100%</w:t>
            </w:r>
          </w:p>
        </w:tc>
        <w:tc>
          <w:tcPr>
            <w:tcBorders>
              <w:top w:val="single" w:color="auto" w:sz="4" w:space="0"/>
              <w:left w:val="single" w:color="auto" w:sz="4" w:space="0"/>
              <w:bottom w:val="single" w:color="auto" w:sz="4" w:space="0"/>
              <w:right w:val="single" w:color="auto" w:sz="4" w:space="0"/>
            </w:tcBorders>
          </w:tcPr>
          <w:p w14:paraId="712D3679">
            <w:pPr>
              <w:keepNext w:val="0"/>
              <w:keepLines w:val="0"/>
              <w:widowControl/>
              <w:suppressLineNumbers w:val="0"/>
              <w:spacing w:before="0" w:beforeAutospacing="0" w:after="0" w:afterAutospacing="0" w:line="180" w:lineRule="auto"/>
              <w:ind w:left="0" w:right="0" w:firstLine="0"/>
              <w:jc w:val="center"/>
              <w:rPr>
                <w:rFonts w:hint="default"/>
              </w:rPr>
            </w:pPr>
          </w:p>
        </w:tc>
      </w:tr>
    </w:tbl>
    <w:p w14:paraId="42CC825F">
      <w:pPr>
        <w:pStyle w:val="3"/>
        <w:pageBreakBefore w:val="0"/>
        <w:widowControl/>
        <w:kinsoku/>
        <w:wordWrap/>
        <w:overflowPunct/>
        <w:topLinePunct w:val="0"/>
        <w:autoSpaceDE/>
        <w:autoSpaceDN/>
        <w:bidi w:val="0"/>
        <w:adjustRightInd/>
        <w:snapToGrid/>
        <w:spacing w:line="572" w:lineRule="exact"/>
        <w:ind w:firstLine="640"/>
        <w:textAlignment w:val="auto"/>
        <w:rPr>
          <w:rFonts w:hint="default" w:ascii="Times New Roman" w:hAnsi="Times New Roman" w:eastAsia="黑体" w:cs="Times New Roman"/>
          <w:b w:val="0"/>
          <w:bCs w:val="0"/>
          <w:sz w:val="32"/>
          <w:szCs w:val="32"/>
          <w:highlight w:val="none"/>
        </w:rPr>
      </w:pPr>
      <w:r>
        <w:rPr>
          <w:rFonts w:hint="default" w:ascii="Times New Roman" w:hAnsi="Times New Roman" w:eastAsia="黑体" w:cs="Times New Roman"/>
          <w:b w:val="0"/>
          <w:bCs w:val="0"/>
          <w:sz w:val="32"/>
          <w:szCs w:val="32"/>
          <w:highlight w:val="none"/>
        </w:rPr>
        <w:t>四、偏离绩效目标原因和下一步改进措施</w:t>
      </w:r>
    </w:p>
    <w:p w14:paraId="14473430">
      <w:pPr>
        <w:pStyle w:val="3"/>
        <w:pageBreakBefore w:val="0"/>
        <w:widowControl/>
        <w:kinsoku/>
        <w:wordWrap/>
        <w:overflowPunct/>
        <w:topLinePunct w:val="0"/>
        <w:autoSpaceDE/>
        <w:autoSpaceDN/>
        <w:bidi w:val="0"/>
        <w:adjustRightInd/>
        <w:snapToGrid/>
        <w:spacing w:line="572" w:lineRule="exact"/>
        <w:ind w:firstLine="640"/>
        <w:textAlignment w:val="auto"/>
        <w:rPr>
          <w:rFonts w:hint="eastAsia"/>
          <w:color w:val="auto"/>
          <w:kern w:val="2"/>
          <w:sz w:val="32"/>
          <w:highlight w:val="none"/>
          <w:u w:val="single"/>
          <w:lang w:eastAsia="zh-CN"/>
        </w:rPr>
      </w:pPr>
      <w:r>
        <w:rPr>
          <w:rFonts w:hint="eastAsia" w:ascii="Times New Roman" w:hAnsi="Times New Roman" w:eastAsia="仿宋_GB2312" w:cstheme="minorBidi"/>
          <w:b w:val="0"/>
          <w:bCs w:val="0"/>
          <w:color w:val="auto"/>
          <w:kern w:val="2"/>
          <w:sz w:val="32"/>
          <w:szCs w:val="22"/>
          <w:highlight w:val="none"/>
          <w:u w:val="single"/>
          <w:lang w:val="en-US" w:eastAsia="zh-CN" w:bidi="ar-SA"/>
        </w:rPr>
        <w:t>无</w:t>
      </w:r>
    </w:p>
    <w:p w14:paraId="3DCB527B">
      <w:pPr>
        <w:pStyle w:val="3"/>
        <w:pageBreakBefore w:val="0"/>
        <w:widowControl/>
        <w:kinsoku/>
        <w:wordWrap/>
        <w:overflowPunct/>
        <w:topLinePunct w:val="0"/>
        <w:autoSpaceDE/>
        <w:autoSpaceDN/>
        <w:bidi w:val="0"/>
        <w:adjustRightInd/>
        <w:snapToGrid/>
        <w:spacing w:line="572" w:lineRule="exact"/>
        <w:ind w:firstLine="640"/>
        <w:textAlignment w:val="auto"/>
        <w:rPr>
          <w:rFonts w:hint="default" w:ascii="Times New Roman" w:hAnsi="Times New Roman" w:eastAsia="黑体" w:cs="Times New Roman"/>
          <w:b w:val="0"/>
          <w:bCs w:val="0"/>
          <w:sz w:val="32"/>
          <w:szCs w:val="32"/>
          <w:highlight w:val="none"/>
        </w:rPr>
      </w:pPr>
      <w:r>
        <w:rPr>
          <w:rFonts w:hint="eastAsia" w:eastAsia="黑体" w:cs="Times New Roman"/>
          <w:b w:val="0"/>
          <w:bCs w:val="0"/>
          <w:sz w:val="32"/>
          <w:szCs w:val="32"/>
          <w:highlight w:val="none"/>
          <w:lang w:val="en-US" w:eastAsia="zh-CN"/>
        </w:rPr>
        <w:t>五</w:t>
      </w:r>
      <w:r>
        <w:rPr>
          <w:rFonts w:hint="default" w:ascii="Times New Roman" w:hAnsi="Times New Roman" w:eastAsia="黑体" w:cs="Times New Roman"/>
          <w:b w:val="0"/>
          <w:bCs w:val="0"/>
          <w:sz w:val="32"/>
          <w:szCs w:val="32"/>
          <w:highlight w:val="none"/>
        </w:rPr>
        <w:t>、绩效评价结果拟应用和公开情况</w:t>
      </w:r>
    </w:p>
    <w:p w14:paraId="6E127D57">
      <w:pPr>
        <w:pStyle w:val="2"/>
        <w:keepNext w:val="0"/>
        <w:keepLines w:val="0"/>
        <w:pageBreakBefore w:val="0"/>
        <w:kinsoku/>
        <w:wordWrap/>
        <w:overflowPunct/>
        <w:topLinePunct w:val="0"/>
        <w:autoSpaceDE/>
        <w:autoSpaceDN/>
        <w:bidi w:val="0"/>
        <w:adjustRightInd/>
        <w:snapToGrid/>
        <w:spacing w:after="0"/>
        <w:textAlignment w:val="auto"/>
        <w:rPr>
          <w:rFonts w:hint="default" w:ascii="Times New Roman" w:hAnsi="Times New Roman" w:eastAsia="仿宋_GB2312"/>
          <w:color w:val="auto"/>
          <w:kern w:val="2"/>
          <w:sz w:val="32"/>
          <w:highlight w:val="none"/>
          <w:u w:val="single"/>
        </w:rPr>
      </w:pPr>
      <w:r>
        <w:rPr>
          <w:rFonts w:hint="default" w:ascii="Times New Roman" w:hAnsi="Times New Roman" w:eastAsia="仿宋_GB2312"/>
          <w:color w:val="auto"/>
          <w:kern w:val="2"/>
          <w:sz w:val="32"/>
          <w:highlight w:val="none"/>
          <w:u w:val="single"/>
        </w:rPr>
        <w:t>绩效评价结果拟应用：结合评价结果，对被评价项目绩效情况、完成的程度和存在问题与建议加以综合分析，强化评价结果的应用，一是优秀且绩效突出的，在安排后续资金时给予充分保障；二是良好和合格的，在项目单位对存在的问题整改后，按正常从紧原则，编制预算，安排下一年度财政资金；三是不合格的，对于实施过程评价的项目，要即使提出整改意见，未按要求整改的，要向同级政府提出暂停该项目。</w:t>
      </w:r>
    </w:p>
    <w:p w14:paraId="459FB5F4">
      <w:pPr>
        <w:pStyle w:val="2"/>
        <w:keepNext w:val="0"/>
        <w:keepLines w:val="0"/>
        <w:pageBreakBefore w:val="0"/>
        <w:kinsoku/>
        <w:wordWrap/>
        <w:overflowPunct/>
        <w:topLinePunct w:val="0"/>
        <w:autoSpaceDE/>
        <w:autoSpaceDN/>
        <w:bidi w:val="0"/>
        <w:adjustRightInd/>
        <w:snapToGrid/>
        <w:spacing w:after="0"/>
        <w:textAlignment w:val="auto"/>
        <w:rPr>
          <w:rFonts w:hint="default" w:ascii="Times New Roman" w:hAnsi="Times New Roman" w:eastAsia="仿宋_GB2312"/>
          <w:color w:val="auto"/>
          <w:kern w:val="2"/>
          <w:sz w:val="32"/>
          <w:highlight w:val="none"/>
          <w:u w:val="single"/>
        </w:rPr>
      </w:pPr>
      <w:r>
        <w:rPr>
          <w:rFonts w:hint="default" w:ascii="Times New Roman" w:hAnsi="Times New Roman" w:eastAsia="仿宋_GB2312"/>
          <w:color w:val="auto"/>
          <w:kern w:val="2"/>
          <w:sz w:val="32"/>
          <w:highlight w:val="none"/>
          <w:u w:val="single"/>
        </w:rPr>
        <w:t>按照《广东省水利厅 广东省财政厅关于开展202</w:t>
      </w:r>
      <w:r>
        <w:rPr>
          <w:rFonts w:hint="eastAsia"/>
          <w:color w:val="auto"/>
          <w:kern w:val="2"/>
          <w:sz w:val="32"/>
          <w:highlight w:val="none"/>
          <w:u w:val="single"/>
          <w:lang w:val="en-US" w:eastAsia="zh-CN"/>
        </w:rPr>
        <w:t>4</w:t>
      </w:r>
      <w:r>
        <w:rPr>
          <w:rFonts w:hint="default" w:ascii="Times New Roman" w:hAnsi="Times New Roman" w:eastAsia="仿宋_GB2312"/>
          <w:color w:val="auto"/>
          <w:kern w:val="2"/>
          <w:sz w:val="32"/>
          <w:highlight w:val="none"/>
          <w:u w:val="single"/>
        </w:rPr>
        <w:t>年度水利发展资金绩效评价工作的通知》（粤水财务</w:t>
      </w:r>
      <w:r>
        <w:rPr>
          <w:rFonts w:hint="eastAsia"/>
          <w:color w:val="auto"/>
          <w:kern w:val="2"/>
          <w:sz w:val="32"/>
          <w:highlight w:val="none"/>
          <w:u w:val="single"/>
          <w:lang w:eastAsia="zh-CN"/>
        </w:rPr>
        <w:t>函</w:t>
      </w:r>
      <w:r>
        <w:rPr>
          <w:rFonts w:hint="default" w:ascii="Times New Roman" w:hAnsi="Times New Roman" w:eastAsia="仿宋_GB2312"/>
          <w:color w:val="auto"/>
          <w:kern w:val="2"/>
          <w:sz w:val="32"/>
          <w:highlight w:val="none"/>
          <w:u w:val="single"/>
        </w:rPr>
        <w:t>〔202</w:t>
      </w:r>
      <w:r>
        <w:rPr>
          <w:rFonts w:hint="eastAsia"/>
          <w:color w:val="auto"/>
          <w:kern w:val="2"/>
          <w:sz w:val="32"/>
          <w:highlight w:val="none"/>
          <w:u w:val="single"/>
          <w:lang w:val="en-US" w:eastAsia="zh-CN"/>
        </w:rPr>
        <w:t>5</w:t>
      </w:r>
      <w:r>
        <w:rPr>
          <w:rFonts w:hint="default" w:ascii="Times New Roman" w:hAnsi="Times New Roman" w:eastAsia="仿宋_GB2312"/>
          <w:color w:val="auto"/>
          <w:kern w:val="2"/>
          <w:sz w:val="32"/>
          <w:highlight w:val="none"/>
          <w:u w:val="single"/>
        </w:rPr>
        <w:t>〕</w:t>
      </w:r>
      <w:r>
        <w:rPr>
          <w:rFonts w:hint="eastAsia"/>
          <w:color w:val="auto"/>
          <w:kern w:val="2"/>
          <w:sz w:val="32"/>
          <w:highlight w:val="none"/>
          <w:u w:val="single"/>
          <w:lang w:val="en-US" w:eastAsia="zh-CN"/>
        </w:rPr>
        <w:t>711</w:t>
      </w:r>
      <w:r>
        <w:rPr>
          <w:rFonts w:hint="default" w:ascii="Times New Roman" w:hAnsi="Times New Roman" w:eastAsia="仿宋_GB2312"/>
          <w:color w:val="auto"/>
          <w:kern w:val="2"/>
          <w:sz w:val="32"/>
          <w:highlight w:val="none"/>
          <w:u w:val="single"/>
        </w:rPr>
        <w:t>号）要求，将绩效结果向同级人大报告、向社会公开（涉密项目除外）。</w:t>
      </w:r>
    </w:p>
    <w:p w14:paraId="19A944C2">
      <w:pPr>
        <w:pStyle w:val="3"/>
        <w:pageBreakBefore w:val="0"/>
        <w:widowControl/>
        <w:kinsoku/>
        <w:wordWrap/>
        <w:overflowPunct/>
        <w:topLinePunct w:val="0"/>
        <w:autoSpaceDE/>
        <w:autoSpaceDN/>
        <w:bidi w:val="0"/>
        <w:adjustRightInd/>
        <w:snapToGrid/>
        <w:spacing w:line="572" w:lineRule="exact"/>
        <w:ind w:firstLine="640"/>
        <w:textAlignment w:val="auto"/>
        <w:rPr>
          <w:rFonts w:hint="default" w:ascii="Times New Roman" w:hAnsi="Times New Roman" w:eastAsia="黑体" w:cs="Times New Roman"/>
          <w:b w:val="0"/>
          <w:bCs w:val="0"/>
          <w:sz w:val="32"/>
          <w:szCs w:val="32"/>
          <w:highlight w:val="none"/>
        </w:rPr>
      </w:pPr>
      <w:r>
        <w:rPr>
          <w:rFonts w:hint="eastAsia" w:eastAsia="黑体" w:cs="Times New Roman"/>
          <w:b w:val="0"/>
          <w:bCs w:val="0"/>
          <w:sz w:val="32"/>
          <w:szCs w:val="32"/>
          <w:highlight w:val="none"/>
          <w:lang w:val="en-US" w:eastAsia="zh-CN"/>
        </w:rPr>
        <w:t>六</w:t>
      </w:r>
      <w:r>
        <w:rPr>
          <w:rFonts w:hint="default" w:ascii="Times New Roman" w:hAnsi="Times New Roman" w:eastAsia="黑体" w:cs="Times New Roman"/>
          <w:b w:val="0"/>
          <w:bCs w:val="0"/>
          <w:sz w:val="32"/>
          <w:szCs w:val="32"/>
          <w:highlight w:val="none"/>
        </w:rPr>
        <w:t>、其他需说明的问题</w:t>
      </w:r>
    </w:p>
    <w:p w14:paraId="50CA49AF">
      <w:pPr>
        <w:pStyle w:val="2"/>
        <w:keepNext w:val="0"/>
        <w:keepLines w:val="0"/>
        <w:pageBreakBefore w:val="0"/>
        <w:kinsoku/>
        <w:wordWrap/>
        <w:overflowPunct/>
        <w:topLinePunct w:val="0"/>
        <w:autoSpaceDE/>
        <w:autoSpaceDN/>
        <w:bidi w:val="0"/>
        <w:adjustRightInd/>
        <w:snapToGrid/>
        <w:spacing w:after="0"/>
        <w:textAlignment w:val="auto"/>
        <w:rPr>
          <w:rFonts w:hint="default" w:ascii="Times New Roman" w:hAnsi="Times New Roman" w:eastAsia="仿宋_GB2312"/>
          <w:color w:val="auto"/>
          <w:kern w:val="2"/>
          <w:sz w:val="32"/>
          <w:highlight w:val="none"/>
          <w:u w:val="single"/>
        </w:rPr>
      </w:pPr>
      <w:r>
        <w:rPr>
          <w:rFonts w:hint="default" w:ascii="Times New Roman" w:hAnsi="Times New Roman" w:eastAsia="仿宋_GB2312"/>
          <w:color w:val="auto"/>
          <w:kern w:val="2"/>
          <w:sz w:val="32"/>
          <w:highlight w:val="none"/>
          <w:u w:val="single"/>
        </w:rPr>
        <w:t>2024年省水利厅对小坑水库灌区组织管理、安全管理、工程管理、供用水管理、经济管理方面进行评估，小坑水库灌区被评为标准化管理一级达标灌区。</w:t>
      </w:r>
    </w:p>
    <w:p w14:paraId="0DD56F05">
      <w:pPr>
        <w:pageBreakBefore w:val="0"/>
        <w:widowControl/>
        <w:kinsoku/>
        <w:wordWrap/>
        <w:overflowPunct/>
        <w:topLinePunct w:val="0"/>
        <w:autoSpaceDE/>
        <w:autoSpaceDN/>
        <w:bidi w:val="0"/>
        <w:adjustRightInd/>
        <w:snapToGrid/>
        <w:spacing w:line="572" w:lineRule="exact"/>
        <w:ind w:firstLine="640"/>
        <w:textAlignment w:val="auto"/>
        <w:rPr>
          <w:rFonts w:hint="default" w:ascii="Times New Roman" w:hAnsi="Times New Roman" w:cs="Times New Roman"/>
          <w:sz w:val="32"/>
          <w:szCs w:val="32"/>
          <w:highlight w:val="none"/>
        </w:rPr>
      </w:pPr>
    </w:p>
    <w:p w14:paraId="39E38348">
      <w:pPr>
        <w:pageBreakBefore w:val="0"/>
        <w:widowControl/>
        <w:kinsoku/>
        <w:wordWrap/>
        <w:overflowPunct/>
        <w:topLinePunct w:val="0"/>
        <w:autoSpaceDE/>
        <w:autoSpaceDN/>
        <w:bidi w:val="0"/>
        <w:adjustRightInd/>
        <w:snapToGrid/>
        <w:spacing w:line="572" w:lineRule="exact"/>
        <w:ind w:firstLine="640"/>
        <w:textAlignment w:val="auto"/>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附件：</w:t>
      </w:r>
    </w:p>
    <w:p w14:paraId="5D877B40">
      <w:pPr>
        <w:keepNext w:val="0"/>
        <w:keepLines w:val="0"/>
        <w:pageBreakBefore w:val="0"/>
        <w:widowControl/>
        <w:kinsoku/>
        <w:wordWrap/>
        <w:overflowPunct/>
        <w:topLinePunct w:val="0"/>
        <w:autoSpaceDE/>
        <w:autoSpaceDN/>
        <w:bidi w:val="0"/>
        <w:adjustRightInd/>
        <w:snapToGrid/>
        <w:spacing w:line="572" w:lineRule="exact"/>
        <w:ind w:firstLine="640"/>
        <w:textAlignment w:val="auto"/>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1. 韶关市曲江区202</w:t>
      </w:r>
      <w:r>
        <w:rPr>
          <w:rFonts w:hint="eastAsia" w:cs="Times New Roman"/>
          <w:sz w:val="32"/>
          <w:szCs w:val="32"/>
          <w:highlight w:val="none"/>
          <w:lang w:val="en-US" w:eastAsia="zh-CN"/>
        </w:rPr>
        <w:t>4</w:t>
      </w:r>
      <w:r>
        <w:rPr>
          <w:rFonts w:hint="default" w:ascii="Times New Roman" w:hAnsi="Times New Roman" w:cs="Times New Roman"/>
          <w:sz w:val="32"/>
          <w:szCs w:val="32"/>
          <w:highlight w:val="none"/>
        </w:rPr>
        <w:t>年度水利发展资金项目实施情况统计表</w:t>
      </w:r>
    </w:p>
    <w:p w14:paraId="0B62B7AE">
      <w:pPr>
        <w:keepNext w:val="0"/>
        <w:keepLines w:val="0"/>
        <w:pageBreakBefore w:val="0"/>
        <w:widowControl/>
        <w:kinsoku/>
        <w:wordWrap/>
        <w:overflowPunct/>
        <w:topLinePunct w:val="0"/>
        <w:autoSpaceDE/>
        <w:autoSpaceDN/>
        <w:bidi w:val="0"/>
        <w:adjustRightInd/>
        <w:snapToGrid/>
        <w:spacing w:line="572" w:lineRule="exact"/>
        <w:ind w:firstLine="640"/>
        <w:textAlignment w:val="auto"/>
        <w:rPr>
          <w:rFonts w:hint="default" w:ascii="Times New Roman" w:hAnsi="Times New Roman" w:cs="Times New Roman"/>
          <w:sz w:val="32"/>
          <w:szCs w:val="32"/>
          <w:highlight w:val="none"/>
        </w:rPr>
      </w:pPr>
      <w:r>
        <w:rPr>
          <w:rFonts w:hint="eastAsia" w:cs="Times New Roman"/>
          <w:sz w:val="32"/>
          <w:szCs w:val="32"/>
          <w:highlight w:val="none"/>
          <w:lang w:val="en-US" w:eastAsia="zh-CN"/>
        </w:rPr>
        <w:t>2</w:t>
      </w:r>
      <w:r>
        <w:rPr>
          <w:rFonts w:hint="default" w:ascii="Times New Roman" w:hAnsi="Times New Roman" w:cs="Times New Roman"/>
          <w:sz w:val="32"/>
          <w:szCs w:val="32"/>
          <w:highlight w:val="none"/>
        </w:rPr>
        <w:t>. 韶关市曲江区202</w:t>
      </w:r>
      <w:r>
        <w:rPr>
          <w:rFonts w:hint="eastAsia" w:cs="Times New Roman"/>
          <w:sz w:val="32"/>
          <w:szCs w:val="32"/>
          <w:highlight w:val="none"/>
          <w:lang w:val="en-US" w:eastAsia="zh-CN"/>
        </w:rPr>
        <w:t>4</w:t>
      </w:r>
      <w:r>
        <w:rPr>
          <w:rFonts w:hint="default" w:ascii="Times New Roman" w:hAnsi="Times New Roman" w:cs="Times New Roman"/>
          <w:sz w:val="32"/>
          <w:szCs w:val="32"/>
          <w:highlight w:val="none"/>
        </w:rPr>
        <w:t>年度水利发展资金绩效自评表</w:t>
      </w:r>
    </w:p>
    <w:p w14:paraId="1FBCDF4D">
      <w:pPr>
        <w:keepNext w:val="0"/>
        <w:keepLines w:val="0"/>
        <w:pageBreakBefore w:val="0"/>
        <w:widowControl/>
        <w:kinsoku/>
        <w:wordWrap/>
        <w:overflowPunct/>
        <w:topLinePunct w:val="0"/>
        <w:autoSpaceDE/>
        <w:autoSpaceDN/>
        <w:bidi w:val="0"/>
        <w:adjustRightInd/>
        <w:snapToGrid/>
        <w:spacing w:line="572" w:lineRule="exact"/>
        <w:ind w:firstLine="640"/>
        <w:textAlignment w:val="auto"/>
        <w:rPr>
          <w:rFonts w:hint="default" w:ascii="Times New Roman" w:hAnsi="Times New Roman" w:cs="Times New Roman"/>
          <w:sz w:val="32"/>
          <w:szCs w:val="32"/>
          <w:highlight w:val="none"/>
        </w:rPr>
      </w:pPr>
      <w:r>
        <w:rPr>
          <w:rFonts w:hint="eastAsia" w:cs="Times New Roman"/>
          <w:sz w:val="32"/>
          <w:szCs w:val="32"/>
          <w:highlight w:val="none"/>
          <w:lang w:val="en-US" w:eastAsia="zh-CN"/>
        </w:rPr>
        <w:t>3</w:t>
      </w:r>
      <w:r>
        <w:rPr>
          <w:rFonts w:hint="default" w:ascii="Times New Roman" w:hAnsi="Times New Roman" w:cs="Times New Roman"/>
          <w:sz w:val="32"/>
          <w:szCs w:val="32"/>
          <w:highlight w:val="none"/>
        </w:rPr>
        <w:t>. 韶关市曲江区202</w:t>
      </w:r>
      <w:r>
        <w:rPr>
          <w:rFonts w:hint="eastAsia" w:cs="Times New Roman"/>
          <w:sz w:val="32"/>
          <w:szCs w:val="32"/>
          <w:highlight w:val="none"/>
          <w:lang w:val="en-US" w:eastAsia="zh-CN"/>
        </w:rPr>
        <w:t>4</w:t>
      </w:r>
      <w:r>
        <w:rPr>
          <w:rFonts w:hint="default" w:ascii="Times New Roman" w:hAnsi="Times New Roman" w:cs="Times New Roman"/>
          <w:sz w:val="32"/>
          <w:szCs w:val="32"/>
          <w:highlight w:val="none"/>
        </w:rPr>
        <w:t>年度水利发展资金主要支出方向绩效自评表</w:t>
      </w:r>
    </w:p>
    <w:p w14:paraId="352EA5DB">
      <w:pPr>
        <w:pStyle w:val="2"/>
        <w:rPr>
          <w:rFonts w:hint="default" w:ascii="Times New Roman" w:hAnsi="Times New Roman" w:cs="Times New Roman"/>
          <w:sz w:val="32"/>
          <w:szCs w:val="32"/>
          <w:highlight w:val="none"/>
        </w:rPr>
      </w:pPr>
    </w:p>
    <w:p w14:paraId="6530DF7D">
      <w:pPr>
        <w:pStyle w:val="2"/>
        <w:ind w:left="0" w:leftChars="0" w:firstLine="0" w:firstLineChars="0"/>
        <w:rPr>
          <w:rFonts w:hint="default" w:ascii="Times New Roman" w:hAnsi="Times New Roman" w:cs="Times New Roman"/>
          <w:sz w:val="32"/>
          <w:szCs w:val="32"/>
          <w:highlight w:val="none"/>
        </w:rPr>
      </w:pPr>
    </w:p>
    <w:p w14:paraId="629C5CA4">
      <w:pPr>
        <w:pStyle w:val="2"/>
        <w:rPr>
          <w:rFonts w:hint="default" w:ascii="Times New Roman" w:hAnsi="Times New Roman" w:cs="Times New Roman"/>
          <w:sz w:val="32"/>
          <w:szCs w:val="32"/>
          <w:highlight w:val="none"/>
        </w:rPr>
      </w:pPr>
    </w:p>
    <w:p w14:paraId="28E4CE38">
      <w:pPr>
        <w:spacing w:line="560" w:lineRule="exact"/>
        <w:ind w:left="0" w:leftChars="0" w:firstLine="1600" w:firstLineChars="500"/>
        <w:jc w:val="both"/>
      </w:pPr>
      <w:r>
        <w:rPr>
          <w:rFonts w:hint="eastAsia"/>
          <w:sz w:val="32"/>
          <w:szCs w:val="32"/>
          <w:highlight w:val="none"/>
          <w:lang w:eastAsia="zh-CN"/>
        </w:rPr>
        <w:t>韶关市曲江区</w:t>
      </w:r>
      <w:r>
        <w:rPr>
          <w:rFonts w:hint="eastAsia"/>
          <w:sz w:val="32"/>
          <w:szCs w:val="32"/>
          <w:highlight w:val="none"/>
        </w:rPr>
        <w:t xml:space="preserve">水务局     </w:t>
      </w:r>
      <w:r>
        <w:rPr>
          <w:rFonts w:hint="eastAsia"/>
          <w:sz w:val="32"/>
          <w:szCs w:val="32"/>
          <w:highlight w:val="none"/>
          <w:lang w:eastAsia="zh-CN"/>
        </w:rPr>
        <w:t>韶关市曲江区</w:t>
      </w:r>
      <w:r>
        <w:rPr>
          <w:rFonts w:hint="eastAsia"/>
          <w:sz w:val="32"/>
          <w:szCs w:val="32"/>
          <w:highlight w:val="none"/>
        </w:rPr>
        <w:t>财政局</w:t>
      </w:r>
    </w:p>
    <w:p w14:paraId="660A3596">
      <w:pPr>
        <w:ind w:firstLine="0" w:firstLineChars="0"/>
        <w:jc w:val="right"/>
        <w:rPr>
          <w:rFonts w:cs="Times New Roman"/>
          <w:sz w:val="32"/>
          <w:szCs w:val="32"/>
          <w:highlight w:val="none"/>
        </w:rPr>
      </w:pPr>
      <w:r>
        <w:rPr>
          <w:rFonts w:hint="eastAsia" w:cs="Times New Roman"/>
          <w:sz w:val="32"/>
          <w:highlight w:val="none"/>
          <w:u w:val="single"/>
          <w:lang w:val="en-US" w:eastAsia="zh-CN"/>
        </w:rPr>
        <w:t>2025</w:t>
      </w:r>
      <w:r>
        <w:rPr>
          <w:rFonts w:hint="eastAsia"/>
          <w:sz w:val="32"/>
          <w:szCs w:val="32"/>
          <w:highlight w:val="none"/>
        </w:rPr>
        <w:t>年</w:t>
      </w:r>
      <w:r>
        <w:rPr>
          <w:rFonts w:hint="eastAsia" w:cs="Times New Roman"/>
          <w:sz w:val="32"/>
          <w:highlight w:val="none"/>
          <w:u w:val="single"/>
          <w:lang w:val="en-US" w:eastAsia="zh-CN"/>
        </w:rPr>
        <w:t>6</w:t>
      </w:r>
      <w:r>
        <w:rPr>
          <w:rFonts w:hint="eastAsia"/>
          <w:sz w:val="32"/>
          <w:szCs w:val="32"/>
          <w:highlight w:val="none"/>
        </w:rPr>
        <w:t>月</w:t>
      </w:r>
      <w:r>
        <w:rPr>
          <w:rFonts w:hint="eastAsia" w:cs="Times New Roman"/>
          <w:sz w:val="32"/>
          <w:highlight w:val="none"/>
          <w:u w:val="single"/>
          <w:lang w:val="en-US" w:eastAsia="zh-CN"/>
        </w:rPr>
        <w:t>19</w:t>
      </w:r>
      <w:r>
        <w:rPr>
          <w:rFonts w:hint="eastAsia"/>
          <w:sz w:val="32"/>
          <w:szCs w:val="32"/>
          <w:highlight w:val="none"/>
        </w:rPr>
        <w:t>日</w:t>
      </w:r>
    </w:p>
    <w:p w14:paraId="192324BB">
      <w:pPr>
        <w:pStyle w:val="2"/>
        <w:rPr>
          <w:rFonts w:hint="default" w:ascii="Times New Roman" w:hAnsi="Times New Roman" w:cs="Times New Roman"/>
          <w:sz w:val="32"/>
          <w:szCs w:val="32"/>
          <w:highlight w:val="none"/>
        </w:rPr>
      </w:pPr>
    </w:p>
    <w:p w14:paraId="36C15CF7">
      <w:pPr>
        <w:pStyle w:val="2"/>
        <w:rPr>
          <w:rFonts w:hint="default" w:ascii="Times New Roman" w:hAnsi="Times New Roman" w:cs="Times New Roman"/>
          <w:sz w:val="32"/>
          <w:szCs w:val="32"/>
          <w:highlight w:val="none"/>
        </w:rPr>
      </w:pPr>
    </w:p>
    <w:sectPr>
      <w:headerReference r:id="rId11" w:type="default"/>
      <w:footerReference r:id="rId12" w:type="default"/>
      <w:pgSz w:w="11906" w:h="16838"/>
      <w:pgMar w:top="1440" w:right="1800" w:bottom="1440" w:left="1800" w:header="851" w:footer="850"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汉仪平安行粗简">
    <w:altName w:val="微软雅黑"/>
    <w:panose1 w:val="00000000000000000000"/>
    <w:charset w:val="86"/>
    <w:family w:val="auto"/>
    <w:pitch w:val="default"/>
    <w:sig w:usb0="00000000" w:usb1="00000000" w:usb2="00000016"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9776"/>
    </w:sdtPr>
    <w:sdtEndPr>
      <w:rPr>
        <w:rFonts w:cs="Times New Roman"/>
        <w:sz w:val="20"/>
        <w:szCs w:val="20"/>
      </w:rPr>
    </w:sdtEndPr>
    <w:sdtContent>
      <w:p w14:paraId="0BC762CB">
        <w:pPr>
          <w:pStyle w:val="8"/>
          <w:ind w:firstLine="0" w:firstLineChars="0"/>
          <w:jc w:val="center"/>
          <w:rPr>
            <w:rFonts w:cs="Times New Roman"/>
            <w:sz w:val="20"/>
            <w:szCs w:val="20"/>
          </w:rPr>
        </w:pPr>
        <w:r>
          <w:rPr>
            <w:rFonts w:cs="Times New Roman"/>
            <w:sz w:val="20"/>
            <w:szCs w:val="20"/>
          </w:rPr>
          <w:fldChar w:fldCharType="begin"/>
        </w:r>
        <w:r>
          <w:rPr>
            <w:rFonts w:cs="Times New Roman"/>
            <w:sz w:val="20"/>
            <w:szCs w:val="20"/>
          </w:rPr>
          <w:instrText xml:space="preserve">PAGE   \* MERGEFORMAT</w:instrText>
        </w:r>
        <w:r>
          <w:rPr>
            <w:rFonts w:cs="Times New Roman"/>
            <w:sz w:val="20"/>
            <w:szCs w:val="20"/>
          </w:rPr>
          <w:fldChar w:fldCharType="separate"/>
        </w:r>
        <w:r>
          <w:rPr>
            <w:rFonts w:cs="Times New Roman"/>
            <w:sz w:val="20"/>
            <w:szCs w:val="20"/>
            <w:lang w:val="zh-CN"/>
          </w:rPr>
          <w:t>7</w:t>
        </w:r>
        <w:r>
          <w:rPr>
            <w:rFonts w:cs="Times New Roman"/>
            <w:sz w:val="20"/>
            <w:szCs w:val="20"/>
          </w:rPr>
          <w:fldChar w:fldCharType="end"/>
        </w:r>
      </w:p>
    </w:sdtContent>
  </w:sdt>
  <w:p w14:paraId="3491DFBB">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185744">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BA6730">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6018206"/>
    </w:sdtPr>
    <w:sdtEndPr>
      <w:rPr>
        <w:rFonts w:cs="Times New Roman"/>
        <w:sz w:val="20"/>
        <w:szCs w:val="20"/>
      </w:rPr>
    </w:sdtEndPr>
    <w:sdtContent>
      <w:p w14:paraId="215AAFCB">
        <w:pPr>
          <w:pStyle w:val="8"/>
          <w:ind w:firstLine="0" w:firstLineChars="0"/>
          <w:jc w:val="center"/>
          <w:rPr>
            <w:rFonts w:cs="Times New Roman"/>
            <w:sz w:val="20"/>
            <w:szCs w:val="20"/>
          </w:rPr>
        </w:pPr>
        <w:r>
          <w:rPr>
            <w:rFonts w:cs="Times New Roman"/>
            <w:sz w:val="20"/>
            <w:szCs w:val="20"/>
          </w:rPr>
          <w:fldChar w:fldCharType="begin"/>
        </w:r>
        <w:r>
          <w:rPr>
            <w:rFonts w:cs="Times New Roman"/>
            <w:sz w:val="20"/>
            <w:szCs w:val="20"/>
          </w:rPr>
          <w:instrText xml:space="preserve">PAGE   \* MERGEFORMAT</w:instrText>
        </w:r>
        <w:r>
          <w:rPr>
            <w:rFonts w:cs="Times New Roman"/>
            <w:sz w:val="20"/>
            <w:szCs w:val="20"/>
          </w:rPr>
          <w:fldChar w:fldCharType="separate"/>
        </w:r>
        <w:r>
          <w:rPr>
            <w:rFonts w:cs="Times New Roman"/>
            <w:sz w:val="20"/>
            <w:szCs w:val="20"/>
            <w:lang w:val="zh-CN"/>
          </w:rPr>
          <w:t>7</w:t>
        </w:r>
        <w:r>
          <w:rPr>
            <w:rFonts w:cs="Times New Roman"/>
            <w:sz w:val="20"/>
            <w:szCs w:val="20"/>
          </w:rPr>
          <w:fldChar w:fldCharType="end"/>
        </w:r>
      </w:p>
    </w:sdtContent>
  </w:sdt>
  <w:p w14:paraId="6EA63F33">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CEA856">
    <w:pPr>
      <w:pStyle w:val="9"/>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551A11">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DFF48C">
    <w:pPr>
      <w:pStyle w:val="9"/>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071FE2">
    <w:pPr>
      <w:pStyle w:val="9"/>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AF0940"/>
    <w:multiLevelType w:val="singleLevel"/>
    <w:tmpl w:val="92AF0940"/>
    <w:lvl w:ilvl="0" w:tentative="0">
      <w:start w:val="1"/>
      <w:numFmt w:val="decimal"/>
      <w:suff w:val="nothing"/>
      <w:lvlText w:val="（%1）"/>
      <w:lvlJc w:val="left"/>
      <w:pPr>
        <w:ind w:left="420"/>
      </w:pPr>
    </w:lvl>
  </w:abstractNum>
  <w:abstractNum w:abstractNumId="1">
    <w:nsid w:val="C0A4C526"/>
    <w:multiLevelType w:val="singleLevel"/>
    <w:tmpl w:val="C0A4C526"/>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lOTFkNjEwMzQxYmMxMWIzNWJkODgzMTgyNmQ1M2YifQ=="/>
    <w:docVar w:name="KSO_WPS_MARK_KEY" w:val="5fa36719-ccdd-4049-8d18-fbc74bf8f5c1"/>
  </w:docVars>
  <w:rsids>
    <w:rsidRoot w:val="009A6E08"/>
    <w:rsid w:val="00012364"/>
    <w:rsid w:val="00014CAD"/>
    <w:rsid w:val="00020CF5"/>
    <w:rsid w:val="00027DF4"/>
    <w:rsid w:val="00032F9B"/>
    <w:rsid w:val="0003365D"/>
    <w:rsid w:val="00055853"/>
    <w:rsid w:val="000575FB"/>
    <w:rsid w:val="000579CF"/>
    <w:rsid w:val="000601F2"/>
    <w:rsid w:val="00061B72"/>
    <w:rsid w:val="00064AA3"/>
    <w:rsid w:val="00086883"/>
    <w:rsid w:val="00090FC7"/>
    <w:rsid w:val="000C5C46"/>
    <w:rsid w:val="000E37FA"/>
    <w:rsid w:val="000E4C6C"/>
    <w:rsid w:val="000F4B3E"/>
    <w:rsid w:val="00103C6E"/>
    <w:rsid w:val="0012057E"/>
    <w:rsid w:val="00123A17"/>
    <w:rsid w:val="00135D86"/>
    <w:rsid w:val="00140681"/>
    <w:rsid w:val="00147044"/>
    <w:rsid w:val="00162E19"/>
    <w:rsid w:val="00170459"/>
    <w:rsid w:val="0018340E"/>
    <w:rsid w:val="001859AF"/>
    <w:rsid w:val="001876C3"/>
    <w:rsid w:val="00194F66"/>
    <w:rsid w:val="001A647E"/>
    <w:rsid w:val="001A64C4"/>
    <w:rsid w:val="001B4882"/>
    <w:rsid w:val="001B6CC5"/>
    <w:rsid w:val="001D0AF8"/>
    <w:rsid w:val="001F1307"/>
    <w:rsid w:val="00200B6E"/>
    <w:rsid w:val="00220EF5"/>
    <w:rsid w:val="00240DE9"/>
    <w:rsid w:val="0026291A"/>
    <w:rsid w:val="00287D33"/>
    <w:rsid w:val="00293FF6"/>
    <w:rsid w:val="002B3445"/>
    <w:rsid w:val="002C1F1F"/>
    <w:rsid w:val="002C2938"/>
    <w:rsid w:val="002C4D7B"/>
    <w:rsid w:val="002C750C"/>
    <w:rsid w:val="002D2F44"/>
    <w:rsid w:val="002D40FB"/>
    <w:rsid w:val="002E70F3"/>
    <w:rsid w:val="002E76AF"/>
    <w:rsid w:val="002F32E7"/>
    <w:rsid w:val="00320AD9"/>
    <w:rsid w:val="0032648B"/>
    <w:rsid w:val="00332111"/>
    <w:rsid w:val="00361597"/>
    <w:rsid w:val="003B77D6"/>
    <w:rsid w:val="0047288E"/>
    <w:rsid w:val="00480286"/>
    <w:rsid w:val="00480D9A"/>
    <w:rsid w:val="004A0BFA"/>
    <w:rsid w:val="004A3DCD"/>
    <w:rsid w:val="004C3032"/>
    <w:rsid w:val="004C51DE"/>
    <w:rsid w:val="004E6ED3"/>
    <w:rsid w:val="00511077"/>
    <w:rsid w:val="0051714F"/>
    <w:rsid w:val="0053068F"/>
    <w:rsid w:val="00535F81"/>
    <w:rsid w:val="00537431"/>
    <w:rsid w:val="00544610"/>
    <w:rsid w:val="0054672D"/>
    <w:rsid w:val="00550698"/>
    <w:rsid w:val="00551F0F"/>
    <w:rsid w:val="00564C56"/>
    <w:rsid w:val="005746E9"/>
    <w:rsid w:val="00576F5D"/>
    <w:rsid w:val="00584ADC"/>
    <w:rsid w:val="005D1171"/>
    <w:rsid w:val="005D2092"/>
    <w:rsid w:val="005D7D1C"/>
    <w:rsid w:val="005E6875"/>
    <w:rsid w:val="00616078"/>
    <w:rsid w:val="006201A8"/>
    <w:rsid w:val="00622CC1"/>
    <w:rsid w:val="00624AE3"/>
    <w:rsid w:val="00653819"/>
    <w:rsid w:val="00665CA8"/>
    <w:rsid w:val="006967D9"/>
    <w:rsid w:val="006B4EEE"/>
    <w:rsid w:val="006C2B9E"/>
    <w:rsid w:val="006D62D8"/>
    <w:rsid w:val="006D62E0"/>
    <w:rsid w:val="006F6B35"/>
    <w:rsid w:val="007145BC"/>
    <w:rsid w:val="00720B2B"/>
    <w:rsid w:val="00725800"/>
    <w:rsid w:val="007455E6"/>
    <w:rsid w:val="007470F9"/>
    <w:rsid w:val="00753B8B"/>
    <w:rsid w:val="00763CA9"/>
    <w:rsid w:val="0079311F"/>
    <w:rsid w:val="007B3836"/>
    <w:rsid w:val="007B7137"/>
    <w:rsid w:val="007D5885"/>
    <w:rsid w:val="007F191A"/>
    <w:rsid w:val="007F3550"/>
    <w:rsid w:val="007F4374"/>
    <w:rsid w:val="007F7064"/>
    <w:rsid w:val="008410A9"/>
    <w:rsid w:val="008462F8"/>
    <w:rsid w:val="00863BE8"/>
    <w:rsid w:val="008804D7"/>
    <w:rsid w:val="0088423B"/>
    <w:rsid w:val="008A1303"/>
    <w:rsid w:val="008B7E7F"/>
    <w:rsid w:val="008C2580"/>
    <w:rsid w:val="008D020F"/>
    <w:rsid w:val="008D3C72"/>
    <w:rsid w:val="008F27AB"/>
    <w:rsid w:val="008F6BA1"/>
    <w:rsid w:val="00906786"/>
    <w:rsid w:val="009071A1"/>
    <w:rsid w:val="00924E67"/>
    <w:rsid w:val="009700E5"/>
    <w:rsid w:val="00980EEE"/>
    <w:rsid w:val="0098135E"/>
    <w:rsid w:val="00986426"/>
    <w:rsid w:val="00992822"/>
    <w:rsid w:val="009A2B21"/>
    <w:rsid w:val="009A6A85"/>
    <w:rsid w:val="009A6E08"/>
    <w:rsid w:val="009E5135"/>
    <w:rsid w:val="009F3904"/>
    <w:rsid w:val="00A021BD"/>
    <w:rsid w:val="00A101DB"/>
    <w:rsid w:val="00A173DB"/>
    <w:rsid w:val="00A30CD6"/>
    <w:rsid w:val="00A3771F"/>
    <w:rsid w:val="00A405B4"/>
    <w:rsid w:val="00A411D4"/>
    <w:rsid w:val="00A839F6"/>
    <w:rsid w:val="00A9324C"/>
    <w:rsid w:val="00AA5432"/>
    <w:rsid w:val="00AA7A7D"/>
    <w:rsid w:val="00AB3D78"/>
    <w:rsid w:val="00AD2D32"/>
    <w:rsid w:val="00AD6CF4"/>
    <w:rsid w:val="00AE6DAE"/>
    <w:rsid w:val="00AF39A7"/>
    <w:rsid w:val="00B00E06"/>
    <w:rsid w:val="00B00FB1"/>
    <w:rsid w:val="00B01FF2"/>
    <w:rsid w:val="00B04388"/>
    <w:rsid w:val="00B07DAB"/>
    <w:rsid w:val="00B33A0E"/>
    <w:rsid w:val="00B37457"/>
    <w:rsid w:val="00B42BB4"/>
    <w:rsid w:val="00B53C28"/>
    <w:rsid w:val="00B5681B"/>
    <w:rsid w:val="00B8383C"/>
    <w:rsid w:val="00B921F3"/>
    <w:rsid w:val="00B97A4A"/>
    <w:rsid w:val="00BA2FDB"/>
    <w:rsid w:val="00BC02B7"/>
    <w:rsid w:val="00BC16B7"/>
    <w:rsid w:val="00BD0B3A"/>
    <w:rsid w:val="00BF3C9D"/>
    <w:rsid w:val="00BF781C"/>
    <w:rsid w:val="00C00315"/>
    <w:rsid w:val="00C21900"/>
    <w:rsid w:val="00C260B2"/>
    <w:rsid w:val="00C41FE0"/>
    <w:rsid w:val="00C513CE"/>
    <w:rsid w:val="00C570C4"/>
    <w:rsid w:val="00C717FA"/>
    <w:rsid w:val="00C82E25"/>
    <w:rsid w:val="00C852F3"/>
    <w:rsid w:val="00C92839"/>
    <w:rsid w:val="00C92DA1"/>
    <w:rsid w:val="00CA0337"/>
    <w:rsid w:val="00CA635E"/>
    <w:rsid w:val="00CC295C"/>
    <w:rsid w:val="00CD4192"/>
    <w:rsid w:val="00CF55D4"/>
    <w:rsid w:val="00D04052"/>
    <w:rsid w:val="00D1438F"/>
    <w:rsid w:val="00D36C99"/>
    <w:rsid w:val="00D40A7F"/>
    <w:rsid w:val="00D74B44"/>
    <w:rsid w:val="00D814D9"/>
    <w:rsid w:val="00D851BC"/>
    <w:rsid w:val="00D85338"/>
    <w:rsid w:val="00D86267"/>
    <w:rsid w:val="00D90A4F"/>
    <w:rsid w:val="00D9111D"/>
    <w:rsid w:val="00D93C25"/>
    <w:rsid w:val="00D979D1"/>
    <w:rsid w:val="00DC3D04"/>
    <w:rsid w:val="00DC6435"/>
    <w:rsid w:val="00DD476D"/>
    <w:rsid w:val="00DF0146"/>
    <w:rsid w:val="00DF420B"/>
    <w:rsid w:val="00DF5A11"/>
    <w:rsid w:val="00DF6B9C"/>
    <w:rsid w:val="00E016A9"/>
    <w:rsid w:val="00E12F40"/>
    <w:rsid w:val="00E25971"/>
    <w:rsid w:val="00E5507C"/>
    <w:rsid w:val="00E55B53"/>
    <w:rsid w:val="00E62C8B"/>
    <w:rsid w:val="00E661E0"/>
    <w:rsid w:val="00E747D2"/>
    <w:rsid w:val="00E94D32"/>
    <w:rsid w:val="00EA099F"/>
    <w:rsid w:val="00EA3DD1"/>
    <w:rsid w:val="00EA6591"/>
    <w:rsid w:val="00EA7515"/>
    <w:rsid w:val="00EC3DB7"/>
    <w:rsid w:val="00ED1286"/>
    <w:rsid w:val="00EE1BBD"/>
    <w:rsid w:val="00EF76FC"/>
    <w:rsid w:val="00F010AB"/>
    <w:rsid w:val="00F03039"/>
    <w:rsid w:val="00F0409D"/>
    <w:rsid w:val="00F04C8E"/>
    <w:rsid w:val="00F057BF"/>
    <w:rsid w:val="00F10363"/>
    <w:rsid w:val="00F13170"/>
    <w:rsid w:val="00F22DF1"/>
    <w:rsid w:val="00F35E5F"/>
    <w:rsid w:val="00F5028C"/>
    <w:rsid w:val="00F76FB4"/>
    <w:rsid w:val="00F97F7B"/>
    <w:rsid w:val="00FC00DB"/>
    <w:rsid w:val="00FC15FE"/>
    <w:rsid w:val="00FD281B"/>
    <w:rsid w:val="01193612"/>
    <w:rsid w:val="015920E6"/>
    <w:rsid w:val="01822573"/>
    <w:rsid w:val="018A3842"/>
    <w:rsid w:val="01937F78"/>
    <w:rsid w:val="01AE15BA"/>
    <w:rsid w:val="01C65812"/>
    <w:rsid w:val="026C34CF"/>
    <w:rsid w:val="02A22B2B"/>
    <w:rsid w:val="02D8427D"/>
    <w:rsid w:val="03222CFC"/>
    <w:rsid w:val="034F108D"/>
    <w:rsid w:val="0350044F"/>
    <w:rsid w:val="03744328"/>
    <w:rsid w:val="03C86237"/>
    <w:rsid w:val="03FF4273"/>
    <w:rsid w:val="041D1575"/>
    <w:rsid w:val="04D57FCB"/>
    <w:rsid w:val="04DA26C6"/>
    <w:rsid w:val="04E07226"/>
    <w:rsid w:val="04FD3EA8"/>
    <w:rsid w:val="05141549"/>
    <w:rsid w:val="0575419C"/>
    <w:rsid w:val="05926AFC"/>
    <w:rsid w:val="05B13578"/>
    <w:rsid w:val="05E22706"/>
    <w:rsid w:val="06825BC9"/>
    <w:rsid w:val="06AC5B1C"/>
    <w:rsid w:val="06D6582D"/>
    <w:rsid w:val="06E94E42"/>
    <w:rsid w:val="06F53107"/>
    <w:rsid w:val="074327A4"/>
    <w:rsid w:val="076931F2"/>
    <w:rsid w:val="07727F9D"/>
    <w:rsid w:val="07CC31AE"/>
    <w:rsid w:val="07F824A4"/>
    <w:rsid w:val="08871E43"/>
    <w:rsid w:val="09324E46"/>
    <w:rsid w:val="09982BFC"/>
    <w:rsid w:val="0A3342A8"/>
    <w:rsid w:val="0AFB3396"/>
    <w:rsid w:val="0B1D595D"/>
    <w:rsid w:val="0BB439CE"/>
    <w:rsid w:val="0BBB283E"/>
    <w:rsid w:val="0BC522E1"/>
    <w:rsid w:val="0C4A6663"/>
    <w:rsid w:val="0C6F1945"/>
    <w:rsid w:val="0C807FF6"/>
    <w:rsid w:val="0C8573BB"/>
    <w:rsid w:val="0CEF7536"/>
    <w:rsid w:val="0D097FEC"/>
    <w:rsid w:val="0D64139E"/>
    <w:rsid w:val="0D752962"/>
    <w:rsid w:val="0DF91C78"/>
    <w:rsid w:val="0E757408"/>
    <w:rsid w:val="0EB421D9"/>
    <w:rsid w:val="0F073C1A"/>
    <w:rsid w:val="0F3F455E"/>
    <w:rsid w:val="0F440203"/>
    <w:rsid w:val="0FEA52E3"/>
    <w:rsid w:val="100F76F7"/>
    <w:rsid w:val="1046316E"/>
    <w:rsid w:val="10E2302E"/>
    <w:rsid w:val="112F5DC6"/>
    <w:rsid w:val="116E0688"/>
    <w:rsid w:val="117D5443"/>
    <w:rsid w:val="11B14807"/>
    <w:rsid w:val="122F2FB1"/>
    <w:rsid w:val="13150D4A"/>
    <w:rsid w:val="13182DBA"/>
    <w:rsid w:val="137F251B"/>
    <w:rsid w:val="13A41BEE"/>
    <w:rsid w:val="13B50586"/>
    <w:rsid w:val="14642796"/>
    <w:rsid w:val="14796B5C"/>
    <w:rsid w:val="147C72F5"/>
    <w:rsid w:val="149C7E7B"/>
    <w:rsid w:val="150572EB"/>
    <w:rsid w:val="152466FE"/>
    <w:rsid w:val="155344FA"/>
    <w:rsid w:val="15CC7E09"/>
    <w:rsid w:val="15FD3544"/>
    <w:rsid w:val="161552E4"/>
    <w:rsid w:val="176ED3B0"/>
    <w:rsid w:val="18491BE4"/>
    <w:rsid w:val="18565113"/>
    <w:rsid w:val="1869193F"/>
    <w:rsid w:val="18B835D1"/>
    <w:rsid w:val="19017DC9"/>
    <w:rsid w:val="19024489"/>
    <w:rsid w:val="1903037F"/>
    <w:rsid w:val="190D0654"/>
    <w:rsid w:val="19855AE2"/>
    <w:rsid w:val="198C1D89"/>
    <w:rsid w:val="19B555A2"/>
    <w:rsid w:val="19D74311"/>
    <w:rsid w:val="1A136006"/>
    <w:rsid w:val="1A6A6422"/>
    <w:rsid w:val="1AC57FE8"/>
    <w:rsid w:val="1AE87493"/>
    <w:rsid w:val="1B281F85"/>
    <w:rsid w:val="1B740D26"/>
    <w:rsid w:val="1BB402D3"/>
    <w:rsid w:val="1BFF6542"/>
    <w:rsid w:val="1C99052B"/>
    <w:rsid w:val="1C9B0535"/>
    <w:rsid w:val="1C9C4FB4"/>
    <w:rsid w:val="1CC935F7"/>
    <w:rsid w:val="1DDB526E"/>
    <w:rsid w:val="1DF93765"/>
    <w:rsid w:val="1E443D14"/>
    <w:rsid w:val="1ECC2C27"/>
    <w:rsid w:val="1F132604"/>
    <w:rsid w:val="1F406AD1"/>
    <w:rsid w:val="1F5275D0"/>
    <w:rsid w:val="1F685F22"/>
    <w:rsid w:val="1FCD4EA9"/>
    <w:rsid w:val="20857532"/>
    <w:rsid w:val="20DC0484"/>
    <w:rsid w:val="20E74DDD"/>
    <w:rsid w:val="216211D7"/>
    <w:rsid w:val="21815F4B"/>
    <w:rsid w:val="21AE4866"/>
    <w:rsid w:val="21E64000"/>
    <w:rsid w:val="220B6F2C"/>
    <w:rsid w:val="227D2BB6"/>
    <w:rsid w:val="22C84F8D"/>
    <w:rsid w:val="22D022F0"/>
    <w:rsid w:val="22DA3996"/>
    <w:rsid w:val="23DD17FD"/>
    <w:rsid w:val="24174945"/>
    <w:rsid w:val="24374FE7"/>
    <w:rsid w:val="24451E5A"/>
    <w:rsid w:val="24747FE9"/>
    <w:rsid w:val="24E448AE"/>
    <w:rsid w:val="2530675C"/>
    <w:rsid w:val="256D6D6E"/>
    <w:rsid w:val="25BF5294"/>
    <w:rsid w:val="25C64874"/>
    <w:rsid w:val="25EC3BAF"/>
    <w:rsid w:val="25F80DA5"/>
    <w:rsid w:val="264B2F4F"/>
    <w:rsid w:val="26DF1527"/>
    <w:rsid w:val="270A409B"/>
    <w:rsid w:val="273EA3FA"/>
    <w:rsid w:val="274D7C1E"/>
    <w:rsid w:val="27724D2D"/>
    <w:rsid w:val="27B80671"/>
    <w:rsid w:val="27CE13B1"/>
    <w:rsid w:val="27F17147"/>
    <w:rsid w:val="281125F8"/>
    <w:rsid w:val="2829733C"/>
    <w:rsid w:val="284658F9"/>
    <w:rsid w:val="295B0EBB"/>
    <w:rsid w:val="296217ED"/>
    <w:rsid w:val="299566CF"/>
    <w:rsid w:val="29D16BA7"/>
    <w:rsid w:val="29DB7CAB"/>
    <w:rsid w:val="2A7617D4"/>
    <w:rsid w:val="2A9067BA"/>
    <w:rsid w:val="2B413A38"/>
    <w:rsid w:val="2B7B3A0B"/>
    <w:rsid w:val="2B874618"/>
    <w:rsid w:val="2C04131F"/>
    <w:rsid w:val="2C2B5431"/>
    <w:rsid w:val="2C917355"/>
    <w:rsid w:val="2CA174A1"/>
    <w:rsid w:val="2CBD6C7E"/>
    <w:rsid w:val="2D5029C5"/>
    <w:rsid w:val="2DD70495"/>
    <w:rsid w:val="2E093550"/>
    <w:rsid w:val="2E1E3111"/>
    <w:rsid w:val="2E626B37"/>
    <w:rsid w:val="2E6D6953"/>
    <w:rsid w:val="2E762EA5"/>
    <w:rsid w:val="2ECB1549"/>
    <w:rsid w:val="2F715551"/>
    <w:rsid w:val="2F8A09E3"/>
    <w:rsid w:val="3135465C"/>
    <w:rsid w:val="31607AD2"/>
    <w:rsid w:val="31B77767"/>
    <w:rsid w:val="31BF3763"/>
    <w:rsid w:val="3244135A"/>
    <w:rsid w:val="32B36180"/>
    <w:rsid w:val="32BD06A1"/>
    <w:rsid w:val="333170A5"/>
    <w:rsid w:val="333F5C66"/>
    <w:rsid w:val="342310E4"/>
    <w:rsid w:val="3436680F"/>
    <w:rsid w:val="34F5496E"/>
    <w:rsid w:val="3529097C"/>
    <w:rsid w:val="35410B17"/>
    <w:rsid w:val="35BC55F9"/>
    <w:rsid w:val="35BF00D7"/>
    <w:rsid w:val="35F5B138"/>
    <w:rsid w:val="360A7CD9"/>
    <w:rsid w:val="362C0724"/>
    <w:rsid w:val="3659703F"/>
    <w:rsid w:val="3676374D"/>
    <w:rsid w:val="3688242E"/>
    <w:rsid w:val="36CB704A"/>
    <w:rsid w:val="36CE4690"/>
    <w:rsid w:val="37FF7BB0"/>
    <w:rsid w:val="38A95BD3"/>
    <w:rsid w:val="38F5161A"/>
    <w:rsid w:val="39100E27"/>
    <w:rsid w:val="39627859"/>
    <w:rsid w:val="39E73B05"/>
    <w:rsid w:val="3A23680A"/>
    <w:rsid w:val="3AC74DF5"/>
    <w:rsid w:val="3ADA503E"/>
    <w:rsid w:val="3B057795"/>
    <w:rsid w:val="3B7168B3"/>
    <w:rsid w:val="3BD6594A"/>
    <w:rsid w:val="3C017DF2"/>
    <w:rsid w:val="3C076D5A"/>
    <w:rsid w:val="3CA803D8"/>
    <w:rsid w:val="3D430613"/>
    <w:rsid w:val="3D7E738B"/>
    <w:rsid w:val="3DC824ED"/>
    <w:rsid w:val="3DEE05E6"/>
    <w:rsid w:val="3DF8538F"/>
    <w:rsid w:val="3E652EB1"/>
    <w:rsid w:val="3EB178A5"/>
    <w:rsid w:val="3F152F21"/>
    <w:rsid w:val="3F60539C"/>
    <w:rsid w:val="3F744613"/>
    <w:rsid w:val="3FBF6165"/>
    <w:rsid w:val="3FDB1DF4"/>
    <w:rsid w:val="3FF35E0E"/>
    <w:rsid w:val="406E36E7"/>
    <w:rsid w:val="412473B6"/>
    <w:rsid w:val="41856F3A"/>
    <w:rsid w:val="41874E7F"/>
    <w:rsid w:val="424336D6"/>
    <w:rsid w:val="427D102F"/>
    <w:rsid w:val="427D5E63"/>
    <w:rsid w:val="42827D7B"/>
    <w:rsid w:val="42894808"/>
    <w:rsid w:val="428C433E"/>
    <w:rsid w:val="43002288"/>
    <w:rsid w:val="432232ED"/>
    <w:rsid w:val="434B7D0F"/>
    <w:rsid w:val="434E52EB"/>
    <w:rsid w:val="43A7763B"/>
    <w:rsid w:val="43C13D4B"/>
    <w:rsid w:val="44715C79"/>
    <w:rsid w:val="44F7014F"/>
    <w:rsid w:val="457B2B2E"/>
    <w:rsid w:val="457D7C55"/>
    <w:rsid w:val="45855270"/>
    <w:rsid w:val="458C640A"/>
    <w:rsid w:val="45B1505C"/>
    <w:rsid w:val="45C13FDA"/>
    <w:rsid w:val="46127979"/>
    <w:rsid w:val="465C31AE"/>
    <w:rsid w:val="47164D4B"/>
    <w:rsid w:val="474B266A"/>
    <w:rsid w:val="47E32C0C"/>
    <w:rsid w:val="482D7548"/>
    <w:rsid w:val="487B1097"/>
    <w:rsid w:val="48991920"/>
    <w:rsid w:val="48DA31D6"/>
    <w:rsid w:val="49003E49"/>
    <w:rsid w:val="49DB003F"/>
    <w:rsid w:val="49DE143B"/>
    <w:rsid w:val="4A307CE2"/>
    <w:rsid w:val="4A735D68"/>
    <w:rsid w:val="4B2A0F6D"/>
    <w:rsid w:val="4B4D6D1A"/>
    <w:rsid w:val="4B7D7CDD"/>
    <w:rsid w:val="4BBE3774"/>
    <w:rsid w:val="4C2E5100"/>
    <w:rsid w:val="4C310C5B"/>
    <w:rsid w:val="4C313A81"/>
    <w:rsid w:val="4D935498"/>
    <w:rsid w:val="4DEC1C64"/>
    <w:rsid w:val="4E197388"/>
    <w:rsid w:val="4E1A6C5C"/>
    <w:rsid w:val="4E3F0301"/>
    <w:rsid w:val="4E4E4320"/>
    <w:rsid w:val="4EB96475"/>
    <w:rsid w:val="4F3A4948"/>
    <w:rsid w:val="4F542EE9"/>
    <w:rsid w:val="4FB235F0"/>
    <w:rsid w:val="4FBF732D"/>
    <w:rsid w:val="4FED287A"/>
    <w:rsid w:val="501043E3"/>
    <w:rsid w:val="50503F36"/>
    <w:rsid w:val="50815DA6"/>
    <w:rsid w:val="50E57F92"/>
    <w:rsid w:val="50F1639A"/>
    <w:rsid w:val="51142BE9"/>
    <w:rsid w:val="51597009"/>
    <w:rsid w:val="51962A9D"/>
    <w:rsid w:val="51A41AC8"/>
    <w:rsid w:val="51DD4378"/>
    <w:rsid w:val="521827F2"/>
    <w:rsid w:val="524D03AB"/>
    <w:rsid w:val="52500E9E"/>
    <w:rsid w:val="52D7511B"/>
    <w:rsid w:val="52FF3B12"/>
    <w:rsid w:val="536746F1"/>
    <w:rsid w:val="53CB1124"/>
    <w:rsid w:val="53D61877"/>
    <w:rsid w:val="53DF552A"/>
    <w:rsid w:val="5422174F"/>
    <w:rsid w:val="54297BF9"/>
    <w:rsid w:val="548DEDA0"/>
    <w:rsid w:val="549B6FF0"/>
    <w:rsid w:val="54AB2D04"/>
    <w:rsid w:val="54F2448F"/>
    <w:rsid w:val="55175CA3"/>
    <w:rsid w:val="553A1ECA"/>
    <w:rsid w:val="5547156B"/>
    <w:rsid w:val="55562519"/>
    <w:rsid w:val="55727B3F"/>
    <w:rsid w:val="558C2A3A"/>
    <w:rsid w:val="55CE6CAA"/>
    <w:rsid w:val="56FE620B"/>
    <w:rsid w:val="572B4CD4"/>
    <w:rsid w:val="57750AEA"/>
    <w:rsid w:val="578C4726"/>
    <w:rsid w:val="57D8535D"/>
    <w:rsid w:val="58690F0C"/>
    <w:rsid w:val="588D3223"/>
    <w:rsid w:val="594B23BF"/>
    <w:rsid w:val="595E20F3"/>
    <w:rsid w:val="5A756416"/>
    <w:rsid w:val="5A786312"/>
    <w:rsid w:val="5B914A01"/>
    <w:rsid w:val="5BA54009"/>
    <w:rsid w:val="5BCF866F"/>
    <w:rsid w:val="5BE2700B"/>
    <w:rsid w:val="5BF25739"/>
    <w:rsid w:val="5C2F21DC"/>
    <w:rsid w:val="5C787020"/>
    <w:rsid w:val="5C8E01AF"/>
    <w:rsid w:val="5CFD1C22"/>
    <w:rsid w:val="5D1C1431"/>
    <w:rsid w:val="5D5A2E78"/>
    <w:rsid w:val="5D9B49EA"/>
    <w:rsid w:val="5DCD7847"/>
    <w:rsid w:val="5E637F4B"/>
    <w:rsid w:val="5EAD0666"/>
    <w:rsid w:val="5EBC3A27"/>
    <w:rsid w:val="5F067D12"/>
    <w:rsid w:val="5F100C1A"/>
    <w:rsid w:val="5F99201A"/>
    <w:rsid w:val="5FBBA2D6"/>
    <w:rsid w:val="5FDA3FB3"/>
    <w:rsid w:val="607E3CB1"/>
    <w:rsid w:val="60A70D54"/>
    <w:rsid w:val="60E16353"/>
    <w:rsid w:val="60E45C7D"/>
    <w:rsid w:val="611B6C7D"/>
    <w:rsid w:val="61406582"/>
    <w:rsid w:val="617E3C4B"/>
    <w:rsid w:val="61B56F70"/>
    <w:rsid w:val="62240310"/>
    <w:rsid w:val="62505904"/>
    <w:rsid w:val="625771C2"/>
    <w:rsid w:val="628F1EA4"/>
    <w:rsid w:val="62D006B2"/>
    <w:rsid w:val="62EE44E7"/>
    <w:rsid w:val="62F6339C"/>
    <w:rsid w:val="62F70158"/>
    <w:rsid w:val="63292EA3"/>
    <w:rsid w:val="634379A6"/>
    <w:rsid w:val="63545442"/>
    <w:rsid w:val="63660521"/>
    <w:rsid w:val="64CE13FE"/>
    <w:rsid w:val="65077DB2"/>
    <w:rsid w:val="65836D9F"/>
    <w:rsid w:val="659B1574"/>
    <w:rsid w:val="65EB11B2"/>
    <w:rsid w:val="66551508"/>
    <w:rsid w:val="6663343E"/>
    <w:rsid w:val="66E45E12"/>
    <w:rsid w:val="673F17B5"/>
    <w:rsid w:val="674BFDEC"/>
    <w:rsid w:val="675608AD"/>
    <w:rsid w:val="677551D7"/>
    <w:rsid w:val="6779459B"/>
    <w:rsid w:val="67885216"/>
    <w:rsid w:val="68077DF9"/>
    <w:rsid w:val="683F3A37"/>
    <w:rsid w:val="686CEADB"/>
    <w:rsid w:val="68DB4B4A"/>
    <w:rsid w:val="69130898"/>
    <w:rsid w:val="69A43B52"/>
    <w:rsid w:val="69D106BF"/>
    <w:rsid w:val="6A116821"/>
    <w:rsid w:val="6A5230E5"/>
    <w:rsid w:val="6A692012"/>
    <w:rsid w:val="6A771266"/>
    <w:rsid w:val="6A8D0A8A"/>
    <w:rsid w:val="6B596BBE"/>
    <w:rsid w:val="6B644105"/>
    <w:rsid w:val="6B742A91"/>
    <w:rsid w:val="6B834B9C"/>
    <w:rsid w:val="6BDE1106"/>
    <w:rsid w:val="6CED366B"/>
    <w:rsid w:val="6D00067B"/>
    <w:rsid w:val="6D02333A"/>
    <w:rsid w:val="6D105A88"/>
    <w:rsid w:val="6D254C02"/>
    <w:rsid w:val="6D8F56C0"/>
    <w:rsid w:val="6D9B28AF"/>
    <w:rsid w:val="6DC26528"/>
    <w:rsid w:val="6EAF8245"/>
    <w:rsid w:val="6EBA7973"/>
    <w:rsid w:val="6ECC341A"/>
    <w:rsid w:val="6F93653C"/>
    <w:rsid w:val="6FE86762"/>
    <w:rsid w:val="6FFD3FBC"/>
    <w:rsid w:val="700D50E9"/>
    <w:rsid w:val="7012220E"/>
    <w:rsid w:val="70673B2B"/>
    <w:rsid w:val="708D2E28"/>
    <w:rsid w:val="710F6A7D"/>
    <w:rsid w:val="71297032"/>
    <w:rsid w:val="715F778A"/>
    <w:rsid w:val="718F6E95"/>
    <w:rsid w:val="71A359F0"/>
    <w:rsid w:val="727E58FA"/>
    <w:rsid w:val="72F821A6"/>
    <w:rsid w:val="733C7595"/>
    <w:rsid w:val="73551727"/>
    <w:rsid w:val="73816C76"/>
    <w:rsid w:val="73E07520"/>
    <w:rsid w:val="73F94F64"/>
    <w:rsid w:val="760904D0"/>
    <w:rsid w:val="762967E2"/>
    <w:rsid w:val="76757DE8"/>
    <w:rsid w:val="76A74C81"/>
    <w:rsid w:val="76A91BA8"/>
    <w:rsid w:val="770F3635"/>
    <w:rsid w:val="771F2A69"/>
    <w:rsid w:val="773F3EF6"/>
    <w:rsid w:val="77603EAD"/>
    <w:rsid w:val="7770799C"/>
    <w:rsid w:val="7795704B"/>
    <w:rsid w:val="77C70B32"/>
    <w:rsid w:val="78A7292D"/>
    <w:rsid w:val="78CF529E"/>
    <w:rsid w:val="78E07656"/>
    <w:rsid w:val="791A47A8"/>
    <w:rsid w:val="79B576B5"/>
    <w:rsid w:val="79CE69C9"/>
    <w:rsid w:val="7A0B4494"/>
    <w:rsid w:val="7ACC2829"/>
    <w:rsid w:val="7AD90ED4"/>
    <w:rsid w:val="7B931C78"/>
    <w:rsid w:val="7BF05873"/>
    <w:rsid w:val="7C1F601A"/>
    <w:rsid w:val="7C23124E"/>
    <w:rsid w:val="7C6F7A9A"/>
    <w:rsid w:val="7C727896"/>
    <w:rsid w:val="7C9A373F"/>
    <w:rsid w:val="7C9E6B26"/>
    <w:rsid w:val="7CB17353"/>
    <w:rsid w:val="7CE516A3"/>
    <w:rsid w:val="7D1E37C3"/>
    <w:rsid w:val="7D676A9B"/>
    <w:rsid w:val="7D816BAC"/>
    <w:rsid w:val="7D823D52"/>
    <w:rsid w:val="7D99109C"/>
    <w:rsid w:val="7DEB5D9B"/>
    <w:rsid w:val="7DF115D5"/>
    <w:rsid w:val="7ED56104"/>
    <w:rsid w:val="7EDB06A4"/>
    <w:rsid w:val="7EEC37A0"/>
    <w:rsid w:val="7F002CF6"/>
    <w:rsid w:val="7F431716"/>
    <w:rsid w:val="7F934B69"/>
    <w:rsid w:val="7FFD3175"/>
    <w:rsid w:val="A9FC4370"/>
    <w:rsid w:val="B95E1FA8"/>
    <w:rsid w:val="BFFB2F4F"/>
    <w:rsid w:val="C7FE2301"/>
    <w:rsid w:val="C9736165"/>
    <w:rsid w:val="CFB732BE"/>
    <w:rsid w:val="D7FF866F"/>
    <w:rsid w:val="DBB78EF2"/>
    <w:rsid w:val="F3DFF33E"/>
    <w:rsid w:val="FFDF806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ind w:firstLine="200" w:firstLineChars="200"/>
      <w:jc w:val="both"/>
    </w:pPr>
    <w:rPr>
      <w:rFonts w:ascii="Times New Roman" w:hAnsi="Times New Roman" w:eastAsia="仿宋_GB2312" w:cstheme="minorBidi"/>
      <w:kern w:val="2"/>
      <w:sz w:val="28"/>
      <w:szCs w:val="22"/>
      <w:lang w:val="en-US" w:eastAsia="zh-CN" w:bidi="ar-SA"/>
    </w:rPr>
  </w:style>
  <w:style w:type="paragraph" w:styleId="3">
    <w:name w:val="heading 1"/>
    <w:basedOn w:val="1"/>
    <w:next w:val="1"/>
    <w:link w:val="18"/>
    <w:qFormat/>
    <w:uiPriority w:val="9"/>
    <w:pPr>
      <w:keepNext/>
      <w:keepLines/>
      <w:outlineLvl w:val="0"/>
    </w:pPr>
    <w:rPr>
      <w:b/>
      <w:bCs/>
      <w:kern w:val="44"/>
      <w:szCs w:val="44"/>
    </w:rPr>
  </w:style>
  <w:style w:type="paragraph" w:styleId="4">
    <w:name w:val="heading 2"/>
    <w:basedOn w:val="1"/>
    <w:next w:val="1"/>
    <w:link w:val="19"/>
    <w:unhideWhenUsed/>
    <w:qFormat/>
    <w:uiPriority w:val="9"/>
    <w:pPr>
      <w:keepNext/>
      <w:keepLines/>
      <w:outlineLvl w:val="1"/>
    </w:pPr>
    <w:rPr>
      <w:rFonts w:cstheme="majorBidi"/>
      <w:bCs/>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5">
    <w:name w:val="Document Map"/>
    <w:basedOn w:val="1"/>
    <w:link w:val="29"/>
    <w:semiHidden/>
    <w:unhideWhenUsed/>
    <w:qFormat/>
    <w:uiPriority w:val="99"/>
    <w:rPr>
      <w:rFonts w:ascii="宋体" w:eastAsia="宋体"/>
      <w:sz w:val="18"/>
      <w:szCs w:val="18"/>
    </w:rPr>
  </w:style>
  <w:style w:type="paragraph" w:styleId="6">
    <w:name w:val="annotation text"/>
    <w:basedOn w:val="1"/>
    <w:link w:val="26"/>
    <w:unhideWhenUsed/>
    <w:qFormat/>
    <w:uiPriority w:val="99"/>
    <w:pPr>
      <w:jc w:val="left"/>
    </w:pPr>
  </w:style>
  <w:style w:type="paragraph" w:styleId="7">
    <w:name w:val="Balloon Text"/>
    <w:basedOn w:val="1"/>
    <w:link w:val="20"/>
    <w:unhideWhenUsed/>
    <w:qFormat/>
    <w:uiPriority w:val="99"/>
    <w:pPr>
      <w:spacing w:line="240" w:lineRule="auto"/>
    </w:pPr>
    <w:rPr>
      <w:sz w:val="18"/>
      <w:szCs w:val="18"/>
    </w:rPr>
  </w:style>
  <w:style w:type="paragraph" w:styleId="8">
    <w:name w:val="footer"/>
    <w:basedOn w:val="1"/>
    <w:link w:val="17"/>
    <w:unhideWhenUsed/>
    <w:qFormat/>
    <w:uiPriority w:val="99"/>
    <w:pPr>
      <w:tabs>
        <w:tab w:val="center" w:pos="4153"/>
        <w:tab w:val="right" w:pos="8306"/>
      </w:tabs>
      <w:snapToGrid w:val="0"/>
      <w:jc w:val="left"/>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1">
    <w:name w:val="annotation subject"/>
    <w:basedOn w:val="6"/>
    <w:next w:val="6"/>
    <w:link w:val="27"/>
    <w:semiHidden/>
    <w:unhideWhenUsed/>
    <w:qFormat/>
    <w:uiPriority w:val="99"/>
    <w:rPr>
      <w:b/>
      <w:bCs/>
    </w:rPr>
  </w:style>
  <w:style w:type="paragraph" w:styleId="12">
    <w:name w:val="Body Text First Indent 2"/>
    <w:qFormat/>
    <w:uiPriority w:val="0"/>
    <w:pPr>
      <w:widowControl w:val="0"/>
      <w:spacing w:after="120"/>
      <w:ind w:left="200" w:leftChars="200" w:firstLine="200" w:firstLineChars="200"/>
      <w:jc w:val="both"/>
    </w:pPr>
    <w:rPr>
      <w:rFonts w:ascii="Calibri" w:hAnsi="Calibri" w:eastAsia="宋体" w:cs="Times New Roman"/>
      <w:kern w:val="2"/>
      <w:sz w:val="21"/>
      <w:szCs w:val="24"/>
      <w:lang w:val="en-US" w:eastAsia="zh-CN" w:bidi="ar-SA"/>
    </w:rPr>
  </w:style>
  <w:style w:type="character" w:styleId="15">
    <w:name w:val="annotation reference"/>
    <w:basedOn w:val="14"/>
    <w:semiHidden/>
    <w:unhideWhenUsed/>
    <w:qFormat/>
    <w:uiPriority w:val="99"/>
    <w:rPr>
      <w:sz w:val="21"/>
      <w:szCs w:val="21"/>
    </w:rPr>
  </w:style>
  <w:style w:type="character" w:customStyle="1" w:styleId="16">
    <w:name w:val="页眉 字符"/>
    <w:basedOn w:val="14"/>
    <w:link w:val="9"/>
    <w:qFormat/>
    <w:uiPriority w:val="99"/>
    <w:rPr>
      <w:sz w:val="18"/>
      <w:szCs w:val="18"/>
    </w:rPr>
  </w:style>
  <w:style w:type="character" w:customStyle="1" w:styleId="17">
    <w:name w:val="页脚 字符"/>
    <w:basedOn w:val="14"/>
    <w:link w:val="8"/>
    <w:qFormat/>
    <w:uiPriority w:val="99"/>
    <w:rPr>
      <w:sz w:val="18"/>
      <w:szCs w:val="18"/>
    </w:rPr>
  </w:style>
  <w:style w:type="character" w:customStyle="1" w:styleId="18">
    <w:name w:val="标题 1 字符"/>
    <w:basedOn w:val="14"/>
    <w:link w:val="3"/>
    <w:qFormat/>
    <w:uiPriority w:val="9"/>
    <w:rPr>
      <w:rFonts w:ascii="Times New Roman" w:hAnsi="Times New Roman" w:eastAsia="仿宋_GB2312"/>
      <w:b/>
      <w:bCs/>
      <w:kern w:val="44"/>
      <w:sz w:val="28"/>
      <w:szCs w:val="44"/>
    </w:rPr>
  </w:style>
  <w:style w:type="character" w:customStyle="1" w:styleId="19">
    <w:name w:val="标题 2 字符"/>
    <w:basedOn w:val="14"/>
    <w:link w:val="4"/>
    <w:qFormat/>
    <w:uiPriority w:val="9"/>
    <w:rPr>
      <w:rFonts w:ascii="Times New Roman" w:hAnsi="Times New Roman" w:eastAsia="仿宋_GB2312" w:cstheme="majorBidi"/>
      <w:bCs/>
      <w:sz w:val="28"/>
      <w:szCs w:val="32"/>
    </w:rPr>
  </w:style>
  <w:style w:type="character" w:customStyle="1" w:styleId="20">
    <w:name w:val="批注框文本 字符"/>
    <w:basedOn w:val="14"/>
    <w:link w:val="7"/>
    <w:semiHidden/>
    <w:qFormat/>
    <w:uiPriority w:val="99"/>
    <w:rPr>
      <w:rFonts w:ascii="Times New Roman" w:hAnsi="Times New Roman" w:eastAsia="仿宋_GB2312"/>
      <w:sz w:val="18"/>
      <w:szCs w:val="18"/>
    </w:rPr>
  </w:style>
  <w:style w:type="paragraph" w:customStyle="1" w:styleId="21">
    <w:name w:val="正文1"/>
    <w:basedOn w:val="1"/>
    <w:link w:val="22"/>
    <w:qFormat/>
    <w:uiPriority w:val="0"/>
    <w:pPr>
      <w:widowControl w:val="0"/>
      <w:adjustRightInd w:val="0"/>
      <w:snapToGrid w:val="0"/>
      <w:ind w:firstLine="640"/>
    </w:pPr>
    <w:rPr>
      <w:rFonts w:cs="Times New Roman"/>
      <w:sz w:val="32"/>
      <w:szCs w:val="32"/>
    </w:rPr>
  </w:style>
  <w:style w:type="character" w:customStyle="1" w:styleId="22">
    <w:name w:val="正文1 Char"/>
    <w:basedOn w:val="14"/>
    <w:link w:val="21"/>
    <w:qFormat/>
    <w:uiPriority w:val="0"/>
    <w:rPr>
      <w:rFonts w:ascii="Times New Roman" w:hAnsi="Times New Roman" w:eastAsia="仿宋_GB2312" w:cs="Times New Roman"/>
      <w:sz w:val="32"/>
      <w:szCs w:val="32"/>
    </w:rPr>
  </w:style>
  <w:style w:type="paragraph" w:customStyle="1" w:styleId="23">
    <w:name w:val="表名"/>
    <w:basedOn w:val="1"/>
    <w:link w:val="24"/>
    <w:qFormat/>
    <w:uiPriority w:val="0"/>
    <w:pPr>
      <w:widowControl w:val="0"/>
      <w:adjustRightInd w:val="0"/>
      <w:snapToGrid w:val="0"/>
      <w:spacing w:afterLines="50" w:line="240" w:lineRule="auto"/>
      <w:ind w:firstLine="0" w:firstLineChars="0"/>
    </w:pPr>
    <w:rPr>
      <w:rFonts w:cs="Times New Roman"/>
      <w:b/>
      <w:kern w:val="0"/>
      <w:sz w:val="32"/>
      <w:szCs w:val="32"/>
    </w:rPr>
  </w:style>
  <w:style w:type="character" w:customStyle="1" w:styleId="24">
    <w:name w:val="表名 Char"/>
    <w:basedOn w:val="14"/>
    <w:link w:val="23"/>
    <w:qFormat/>
    <w:uiPriority w:val="0"/>
    <w:rPr>
      <w:rFonts w:ascii="Times New Roman" w:hAnsi="Times New Roman" w:eastAsia="仿宋_GB2312" w:cs="Times New Roman"/>
      <w:b/>
      <w:kern w:val="0"/>
      <w:sz w:val="32"/>
      <w:szCs w:val="32"/>
    </w:rPr>
  </w:style>
  <w:style w:type="paragraph" w:customStyle="1" w:styleId="25">
    <w:name w:val="列表段落1"/>
    <w:basedOn w:val="1"/>
    <w:qFormat/>
    <w:uiPriority w:val="34"/>
    <w:pPr>
      <w:ind w:firstLine="420"/>
    </w:pPr>
  </w:style>
  <w:style w:type="character" w:customStyle="1" w:styleId="26">
    <w:name w:val="批注文字 字符"/>
    <w:basedOn w:val="14"/>
    <w:link w:val="6"/>
    <w:qFormat/>
    <w:uiPriority w:val="99"/>
    <w:rPr>
      <w:rFonts w:eastAsia="仿宋_GB2312" w:cstheme="minorBidi"/>
      <w:kern w:val="2"/>
      <w:sz w:val="28"/>
      <w:szCs w:val="22"/>
    </w:rPr>
  </w:style>
  <w:style w:type="character" w:customStyle="1" w:styleId="27">
    <w:name w:val="批注主题 字符"/>
    <w:basedOn w:val="26"/>
    <w:link w:val="11"/>
    <w:semiHidden/>
    <w:qFormat/>
    <w:uiPriority w:val="99"/>
    <w:rPr>
      <w:rFonts w:eastAsia="仿宋_GB2312" w:cstheme="minorBidi"/>
      <w:b/>
      <w:bCs/>
      <w:kern w:val="2"/>
      <w:sz w:val="28"/>
      <w:szCs w:val="22"/>
    </w:rPr>
  </w:style>
  <w:style w:type="paragraph" w:customStyle="1" w:styleId="28">
    <w:name w:val="修订1"/>
    <w:hidden/>
    <w:semiHidden/>
    <w:qFormat/>
    <w:uiPriority w:val="99"/>
    <w:rPr>
      <w:rFonts w:ascii="Times New Roman" w:hAnsi="Times New Roman" w:eastAsia="仿宋_GB2312" w:cstheme="minorBidi"/>
      <w:kern w:val="2"/>
      <w:sz w:val="28"/>
      <w:szCs w:val="22"/>
      <w:lang w:val="en-US" w:eastAsia="zh-CN" w:bidi="ar-SA"/>
    </w:rPr>
  </w:style>
  <w:style w:type="character" w:customStyle="1" w:styleId="29">
    <w:name w:val="文档结构图 字符"/>
    <w:basedOn w:val="14"/>
    <w:link w:val="5"/>
    <w:semiHidden/>
    <w:qFormat/>
    <w:uiPriority w:val="99"/>
    <w:rPr>
      <w:rFonts w:ascii="宋体" w:cstheme="minorBidi"/>
      <w:kern w:val="2"/>
      <w:sz w:val="18"/>
      <w:szCs w:val="18"/>
    </w:rPr>
  </w:style>
  <w:style w:type="paragraph" w:customStyle="1" w:styleId="30">
    <w:name w:val="修订2"/>
    <w:hidden/>
    <w:semiHidden/>
    <w:qFormat/>
    <w:uiPriority w:val="99"/>
    <w:rPr>
      <w:rFonts w:ascii="Times New Roman" w:hAnsi="Times New Roman" w:eastAsia="仿宋_GB2312" w:cstheme="minorBidi"/>
      <w:kern w:val="2"/>
      <w:sz w:val="28"/>
      <w:szCs w:val="22"/>
      <w:lang w:val="en-US" w:eastAsia="zh-CN" w:bidi="ar-SA"/>
    </w:rPr>
  </w:style>
  <w:style w:type="paragraph" w:customStyle="1" w:styleId="31">
    <w:name w:val="修订3"/>
    <w:hidden/>
    <w:unhideWhenUsed/>
    <w:qFormat/>
    <w:uiPriority w:val="99"/>
    <w:rPr>
      <w:rFonts w:ascii="Times New Roman" w:hAnsi="Times New Roman" w:eastAsia="仿宋_GB2312" w:cstheme="minorBidi"/>
      <w:kern w:val="2"/>
      <w:sz w:val="28"/>
      <w:szCs w:val="22"/>
      <w:lang w:val="en-US" w:eastAsia="zh-CN" w:bidi="ar-SA"/>
    </w:rPr>
  </w:style>
  <w:style w:type="paragraph" w:customStyle="1" w:styleId="32">
    <w:name w:val="Default"/>
    <w:unhideWhenUsed/>
    <w:qFormat/>
    <w:uiPriority w:val="99"/>
    <w:pPr>
      <w:widowControl w:val="0"/>
      <w:autoSpaceDE w:val="0"/>
      <w:autoSpaceDN w:val="0"/>
      <w:adjustRightInd w:val="0"/>
      <w:spacing w:after="200" w:line="276" w:lineRule="auto"/>
    </w:pPr>
    <w:rPr>
      <w:rFonts w:hint="eastAsia" w:ascii="方正小标宋简体" w:hAnsi="方正小标宋简体" w:eastAsia="方正小标宋简体"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8025</Words>
  <Characters>8846</Characters>
  <Lines>1</Lines>
  <Paragraphs>1</Paragraphs>
  <TotalTime>149</TotalTime>
  <ScaleCrop>false</ScaleCrop>
  <LinksUpToDate>false</LinksUpToDate>
  <CharactersWithSpaces>8892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2024-05-08T01:54:00Z</dcterms:created>
  <dc:creator>张三</dc:creator>
  <cp:lastModifiedBy>gfghfg</cp:lastModifiedBy>
  <cp:lastPrinted>2025-06-19T01:55:00Z</cp:lastPrinted>
  <dcterms:modified xsi:type="dcterms:W3CDTF">2025-06-19T07:02:39Z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C5A0B8C40DD567AB167E4166858987A1</vt:lpwstr>
  </property>
  <property fmtid="{D5CDD505-2E9C-101B-9397-08002B2CF9AE}" pid="4" name="KSOTemplateDocerSaveRecord">
    <vt:lpwstr>eyJoZGlkIjoiNzYxODNmN2E5MDVmOTk1ZjY5MTFkZjI5MWQyNzNiNDUifQ==</vt:lpwstr>
  </property>
</Properties>
</file>