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黑体" w:eastAsia="方正小标宋简体"/>
          <w:sz w:val="44"/>
          <w:szCs w:val="44"/>
        </w:rPr>
      </w:pPr>
    </w:p>
    <w:p>
      <w:pPr>
        <w:jc w:val="center"/>
        <w:rPr>
          <w:rFonts w:ascii="方正小标宋简体" w:hAnsi="黑体" w:eastAsia="方正小标宋简体"/>
          <w:sz w:val="44"/>
          <w:szCs w:val="44"/>
        </w:rPr>
      </w:pPr>
    </w:p>
    <w:p>
      <w:pPr>
        <w:rPr>
          <w:rFonts w:ascii="方正小标宋简体" w:hAnsi="黑体" w:eastAsia="方正小标宋简体"/>
          <w:sz w:val="44"/>
          <w:szCs w:val="44"/>
        </w:rPr>
      </w:pPr>
    </w:p>
    <w:p>
      <w:pPr>
        <w:jc w:val="center"/>
        <w:rPr>
          <w:rFonts w:hint="eastAsia" w:ascii="方正小标宋简体" w:hAnsi="黑体" w:eastAsia="方正小标宋简体"/>
          <w:sz w:val="40"/>
          <w:szCs w:val="40"/>
        </w:rPr>
      </w:pPr>
      <w:r>
        <w:rPr>
          <w:rFonts w:hint="eastAsia" w:ascii="方正小标宋简体" w:hAnsi="黑体" w:eastAsia="方正小标宋简体"/>
          <w:sz w:val="40"/>
          <w:szCs w:val="40"/>
        </w:rPr>
        <w:t>韶关市曲江区</w:t>
      </w:r>
    </w:p>
    <w:p>
      <w:pPr>
        <w:jc w:val="center"/>
        <w:rPr>
          <w:rFonts w:hint="eastAsia" w:ascii="方正小标宋简体" w:hAnsi="黑体" w:eastAsia="方正小标宋简体"/>
          <w:sz w:val="40"/>
          <w:szCs w:val="40"/>
        </w:rPr>
      </w:pPr>
      <w:r>
        <w:rPr>
          <w:rFonts w:hint="eastAsia" w:ascii="方正小标宋简体" w:hAnsi="黑体" w:eastAsia="方正小标宋简体"/>
          <w:sz w:val="40"/>
          <w:szCs w:val="40"/>
          <w:lang w:eastAsia="zh-CN"/>
        </w:rPr>
        <w:t>2023</w:t>
      </w:r>
      <w:r>
        <w:rPr>
          <w:rFonts w:hint="eastAsia" w:ascii="方正小标宋简体" w:hAnsi="黑体" w:eastAsia="方正小标宋简体"/>
          <w:sz w:val="40"/>
          <w:szCs w:val="40"/>
        </w:rPr>
        <w:t>年省级涉农统筹整合转移支付资金</w:t>
      </w:r>
    </w:p>
    <w:p>
      <w:pPr>
        <w:jc w:val="center"/>
        <w:rPr>
          <w:rFonts w:ascii="方正小标宋简体" w:hAnsi="黑体" w:eastAsia="方正小标宋简体"/>
          <w:sz w:val="40"/>
          <w:szCs w:val="40"/>
        </w:rPr>
      </w:pPr>
      <w:r>
        <w:rPr>
          <w:rFonts w:hint="eastAsia" w:ascii="方正小标宋简体" w:hAnsi="黑体" w:eastAsia="方正小标宋简体"/>
          <w:sz w:val="40"/>
          <w:szCs w:val="40"/>
        </w:rPr>
        <w:t>绩效评价报告</w:t>
      </w:r>
    </w:p>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p>
    <w:p>
      <w:pPr>
        <w:jc w:val="center"/>
        <w:rPr>
          <w:rFonts w:ascii="黑体" w:hAnsi="黑体" w:eastAsia="黑体"/>
          <w:sz w:val="36"/>
          <w:szCs w:val="36"/>
        </w:rPr>
      </w:pPr>
    </w:p>
    <w:p>
      <w:pPr>
        <w:jc w:val="left"/>
        <w:rPr>
          <w:rFonts w:ascii="黑体" w:hAnsi="黑体" w:eastAsia="黑体"/>
          <w:sz w:val="36"/>
          <w:szCs w:val="36"/>
        </w:rPr>
      </w:pPr>
    </w:p>
    <w:p>
      <w:pPr>
        <w:jc w:val="left"/>
        <w:rPr>
          <w:rFonts w:ascii="黑体" w:hAnsi="黑体" w:eastAsia="黑体"/>
          <w:sz w:val="36"/>
          <w:szCs w:val="36"/>
        </w:rPr>
      </w:pPr>
    </w:p>
    <w:p>
      <w:pPr>
        <w:jc w:val="left"/>
        <w:rPr>
          <w:rFonts w:ascii="黑体" w:hAnsi="黑体" w:eastAsia="黑体"/>
          <w:sz w:val="36"/>
          <w:szCs w:val="36"/>
        </w:rPr>
      </w:pPr>
    </w:p>
    <w:p>
      <w:pPr>
        <w:jc w:val="left"/>
        <w:rPr>
          <w:rFonts w:ascii="黑体" w:hAnsi="黑体" w:eastAsia="黑体"/>
          <w:sz w:val="36"/>
          <w:szCs w:val="36"/>
        </w:rPr>
      </w:pPr>
    </w:p>
    <w:p>
      <w:pPr>
        <w:pStyle w:val="5"/>
        <w:keepNext w:val="0"/>
        <w:keepLines w:val="0"/>
        <w:pageBreakBefore w:val="0"/>
        <w:widowControl w:val="0"/>
        <w:kinsoku/>
        <w:wordWrap/>
        <w:overflowPunct/>
        <w:topLinePunct/>
        <w:bidi w:val="0"/>
        <w:jc w:val="center"/>
        <w:rPr>
          <w:rFonts w:hint="eastAsia" w:ascii="仿宋_GB2312" w:hAnsi="仿宋_GB2312" w:eastAsia="仿宋_GB2312" w:cs="仿宋_GB2312"/>
          <w:kern w:val="2"/>
          <w:sz w:val="32"/>
        </w:rPr>
      </w:pPr>
      <w:r>
        <w:rPr>
          <w:rFonts w:hint="eastAsia" w:ascii="仿宋_GB2312" w:hAnsi="仿宋_GB2312" w:eastAsia="仿宋_GB2312" w:cs="仿宋_GB2312"/>
          <w:kern w:val="2"/>
          <w:sz w:val="32"/>
        </w:rPr>
        <w:t>评价机构：</w:t>
      </w:r>
      <w:r>
        <w:rPr>
          <w:rFonts w:hint="eastAsia" w:ascii="仿宋_GB2312" w:hAnsi="仿宋_GB2312" w:eastAsia="仿宋_GB2312" w:cs="仿宋_GB2312"/>
          <w:kern w:val="2"/>
          <w:sz w:val="32"/>
          <w:highlight w:val="none"/>
        </w:rPr>
        <w:t>众致（广州）会计师事务所（普通合伙）</w:t>
      </w:r>
    </w:p>
    <w:p>
      <w:pPr>
        <w:pStyle w:val="5"/>
        <w:keepNext w:val="0"/>
        <w:keepLines w:val="0"/>
        <w:pageBreakBefore w:val="0"/>
        <w:widowControl w:val="0"/>
        <w:kinsoku/>
        <w:wordWrap/>
        <w:overflowPunct/>
        <w:topLinePunct/>
        <w:bidi w:val="0"/>
        <w:ind w:firstLine="1280" w:firstLineChars="400"/>
        <w:jc w:val="both"/>
        <w:rPr>
          <w:rFonts w:hint="eastAsia" w:ascii="仿宋_GB2312" w:hAnsi="仿宋_GB2312" w:eastAsia="仿宋_GB2312" w:cs="仿宋_GB2312"/>
          <w:kern w:val="2"/>
          <w:sz w:val="32"/>
          <w:lang w:val="en-US" w:eastAsia="zh-CN"/>
        </w:rPr>
      </w:pPr>
      <w:r>
        <w:rPr>
          <w:rFonts w:hint="eastAsia" w:ascii="仿宋_GB2312" w:hAnsi="仿宋_GB2312" w:eastAsia="仿宋_GB2312" w:cs="仿宋_GB2312"/>
          <w:kern w:val="2"/>
          <w:sz w:val="32"/>
        </w:rPr>
        <w:t>项目负责人：</w:t>
      </w:r>
    </w:p>
    <w:p>
      <w:pPr>
        <w:ind w:firstLine="1280" w:firstLineChars="400"/>
        <w:jc w:val="left"/>
        <w:rPr>
          <w:rFonts w:ascii="仿宋_GB2312" w:hAnsi="仿宋_GB2312" w:eastAsia="仿宋_GB2312" w:cs="仿宋_GB2312"/>
          <w:sz w:val="32"/>
          <w:szCs w:val="32"/>
        </w:rPr>
      </w:pPr>
      <w:r>
        <w:rPr>
          <w:rFonts w:hint="eastAsia" w:ascii="仿宋_GB2312" w:hAnsi="仿宋_GB2312" w:eastAsia="仿宋_GB2312" w:cs="仿宋_GB2312"/>
          <w:kern w:val="2"/>
          <w:sz w:val="32"/>
        </w:rPr>
        <w:t>202</w:t>
      </w:r>
      <w:r>
        <w:rPr>
          <w:rFonts w:hint="eastAsia" w:ascii="仿宋_GB2312" w:hAnsi="仿宋_GB2312" w:eastAsia="仿宋_GB2312" w:cs="仿宋_GB2312"/>
          <w:kern w:val="2"/>
          <w:sz w:val="32"/>
          <w:lang w:val="en-US" w:eastAsia="zh-CN"/>
        </w:rPr>
        <w:t>4</w:t>
      </w:r>
      <w:r>
        <w:rPr>
          <w:rFonts w:hint="eastAsia" w:ascii="仿宋_GB2312" w:hAnsi="仿宋_GB2312" w:eastAsia="仿宋_GB2312" w:cs="仿宋_GB2312"/>
          <w:kern w:val="2"/>
          <w:sz w:val="32"/>
        </w:rPr>
        <w:t>年</w:t>
      </w:r>
      <w:r>
        <w:rPr>
          <w:rFonts w:hint="eastAsia" w:ascii="仿宋_GB2312" w:hAnsi="仿宋_GB2312" w:eastAsia="仿宋_GB2312" w:cs="仿宋_GB2312"/>
          <w:kern w:val="2"/>
          <w:sz w:val="32"/>
          <w:lang w:val="en-US" w:eastAsia="zh-CN"/>
        </w:rPr>
        <w:t>4</w:t>
      </w:r>
      <w:r>
        <w:rPr>
          <w:rFonts w:hint="eastAsia" w:ascii="仿宋_GB2312" w:hAnsi="仿宋_GB2312" w:eastAsia="仿宋_GB2312" w:cs="仿宋_GB2312"/>
          <w:kern w:val="2"/>
          <w:sz w:val="32"/>
        </w:rPr>
        <w:t>月</w:t>
      </w:r>
    </w:p>
    <w:p>
      <w:pPr>
        <w:jc w:val="left"/>
        <w:rPr>
          <w:rFonts w:ascii="黑体" w:hAnsi="黑体" w:eastAsia="黑体"/>
          <w:sz w:val="36"/>
          <w:szCs w:val="36"/>
        </w:rPr>
      </w:pPr>
    </w:p>
    <w:p>
      <w:pPr>
        <w:jc w:val="left"/>
        <w:rPr>
          <w:rFonts w:ascii="黑体" w:hAnsi="黑体" w:eastAsia="黑体"/>
          <w:sz w:val="36"/>
          <w:szCs w:val="36"/>
        </w:rPr>
      </w:pPr>
    </w:p>
    <w:sdt>
      <w:sdtPr>
        <w:rPr>
          <w:rFonts w:asciiTheme="minorHAnsi" w:hAnsiTheme="minorHAnsi" w:eastAsiaTheme="minorEastAsia" w:cstheme="minorBidi"/>
          <w:color w:val="auto"/>
          <w:kern w:val="2"/>
          <w:sz w:val="21"/>
          <w:szCs w:val="24"/>
          <w:lang w:val="zh-CN"/>
        </w:rPr>
        <w:id w:val="-1386177788"/>
        <w:docPartObj>
          <w:docPartGallery w:val="Table of Contents"/>
          <w:docPartUnique/>
        </w:docPartObj>
      </w:sdtPr>
      <w:sdtEndPr>
        <w:rPr>
          <w:rFonts w:hint="eastAsia" w:ascii="仿宋_GB2312" w:eastAsia="仿宋_GB2312" w:hAnsiTheme="minorHAnsi" w:cstheme="minorBidi"/>
          <w:b/>
          <w:bCs/>
          <w:color w:val="auto"/>
          <w:kern w:val="2"/>
          <w:sz w:val="28"/>
          <w:szCs w:val="28"/>
          <w:lang w:val="zh-CN"/>
        </w:rPr>
      </w:sdtEndPr>
      <w:sdtContent>
        <w:p>
          <w:pPr>
            <w:pStyle w:val="25"/>
            <w:jc w:val="center"/>
            <w:rPr>
              <w:color w:val="000000" w:themeColor="text1"/>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36"/>
              <w:lang w:val="zh-CN"/>
              <w14:textFill>
                <w14:solidFill>
                  <w14:schemeClr w14:val="tx1"/>
                </w14:solidFill>
              </w14:textFill>
            </w:rPr>
            <w:t>目</w:t>
          </w: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 xml:space="preserve"> </w:t>
          </w:r>
          <w:r>
            <w:rPr>
              <w:rFonts w:hint="eastAsia" w:ascii="方正小标宋简体" w:hAnsi="方正小标宋简体" w:eastAsia="方正小标宋简体" w:cs="方正小标宋简体"/>
              <w:color w:val="000000" w:themeColor="text1"/>
              <w:sz w:val="36"/>
              <w:szCs w:val="36"/>
              <w:lang w:val="zh-CN"/>
              <w14:textFill>
                <w14:solidFill>
                  <w14:schemeClr w14:val="tx1"/>
                </w14:solidFill>
              </w14:textFill>
            </w:rPr>
            <w:t>录</w:t>
          </w:r>
        </w:p>
        <w:p>
          <w:pPr>
            <w:jc w:val="left"/>
            <w:rPr>
              <w:rFonts w:ascii="黑体" w:hAnsi="黑体" w:eastAsia="黑体"/>
              <w:sz w:val="36"/>
              <w:szCs w:val="36"/>
            </w:rPr>
          </w:pPr>
        </w:p>
      </w:sdtContent>
    </w:sdt>
    <w:p>
      <w:pPr>
        <w:jc w:val="left"/>
        <w:rPr>
          <w:rFonts w:ascii="黑体" w:hAnsi="黑体" w:eastAsia="黑体"/>
          <w:sz w:val="36"/>
          <w:szCs w:val="36"/>
        </w:rPr>
      </w:pPr>
    </w:p>
    <w:p>
      <w:pPr>
        <w:jc w:val="left"/>
        <w:rPr>
          <w:rFonts w:ascii="黑体" w:hAnsi="黑体" w:eastAsia="黑体"/>
          <w:sz w:val="36"/>
          <w:szCs w:val="36"/>
        </w:rPr>
      </w:pPr>
    </w:p>
    <w:p>
      <w:pPr>
        <w:jc w:val="left"/>
        <w:rPr>
          <w:rFonts w:ascii="黑体" w:hAnsi="黑体" w:eastAsia="黑体"/>
          <w:sz w:val="36"/>
          <w:szCs w:val="36"/>
        </w:rPr>
      </w:pPr>
    </w:p>
    <w:p>
      <w:pPr>
        <w:jc w:val="left"/>
        <w:rPr>
          <w:rFonts w:ascii="黑体" w:hAnsi="黑体" w:eastAsia="黑体"/>
          <w:sz w:val="36"/>
          <w:szCs w:val="36"/>
        </w:rPr>
      </w:pPr>
    </w:p>
    <w:p>
      <w:pPr>
        <w:jc w:val="left"/>
        <w:rPr>
          <w:rFonts w:ascii="黑体" w:hAnsi="黑体" w:eastAsia="黑体"/>
          <w:sz w:val="36"/>
          <w:szCs w:val="36"/>
        </w:rPr>
      </w:pPr>
    </w:p>
    <w:p>
      <w:pPr>
        <w:jc w:val="left"/>
        <w:rPr>
          <w:rFonts w:ascii="黑体" w:hAnsi="黑体" w:eastAsia="黑体"/>
          <w:sz w:val="36"/>
          <w:szCs w:val="36"/>
        </w:rPr>
      </w:pPr>
    </w:p>
    <w:p>
      <w:pPr>
        <w:jc w:val="left"/>
        <w:rPr>
          <w:rFonts w:ascii="黑体" w:hAnsi="黑体" w:eastAsia="黑体"/>
          <w:sz w:val="36"/>
          <w:szCs w:val="36"/>
        </w:rPr>
      </w:pPr>
    </w:p>
    <w:p>
      <w:pPr>
        <w:jc w:val="left"/>
        <w:rPr>
          <w:rFonts w:ascii="黑体" w:hAnsi="黑体" w:eastAsia="黑体"/>
          <w:sz w:val="36"/>
          <w:szCs w:val="36"/>
        </w:rPr>
      </w:pPr>
    </w:p>
    <w:p>
      <w:pPr>
        <w:jc w:val="left"/>
        <w:rPr>
          <w:rFonts w:ascii="黑体" w:hAnsi="黑体" w:eastAsia="黑体"/>
          <w:sz w:val="36"/>
          <w:szCs w:val="36"/>
        </w:rPr>
      </w:pPr>
    </w:p>
    <w:p>
      <w:pPr>
        <w:jc w:val="left"/>
        <w:rPr>
          <w:rFonts w:ascii="黑体" w:hAnsi="黑体" w:eastAsia="黑体"/>
          <w:sz w:val="36"/>
          <w:szCs w:val="36"/>
        </w:rPr>
      </w:pPr>
    </w:p>
    <w:p>
      <w:pPr>
        <w:jc w:val="left"/>
        <w:rPr>
          <w:rFonts w:ascii="黑体" w:hAnsi="黑体" w:eastAsia="黑体"/>
          <w:sz w:val="36"/>
          <w:szCs w:val="36"/>
        </w:rPr>
      </w:pPr>
    </w:p>
    <w:p>
      <w:pPr>
        <w:jc w:val="left"/>
        <w:rPr>
          <w:rFonts w:ascii="黑体" w:hAnsi="黑体" w:eastAsia="黑体"/>
          <w:sz w:val="36"/>
          <w:szCs w:val="36"/>
        </w:rPr>
      </w:pPr>
    </w:p>
    <w:p>
      <w:pPr>
        <w:jc w:val="left"/>
        <w:rPr>
          <w:rFonts w:ascii="黑体" w:hAnsi="黑体" w:eastAsia="黑体"/>
          <w:sz w:val="36"/>
          <w:szCs w:val="36"/>
        </w:rPr>
      </w:pPr>
    </w:p>
    <w:p>
      <w:pPr>
        <w:spacing w:line="360" w:lineRule="auto"/>
        <w:ind w:firstLine="640" w:firstLineChars="200"/>
        <w:outlineLvl w:val="0"/>
        <w:rPr>
          <w:rFonts w:ascii="黑体" w:hAnsi="黑体" w:eastAsia="黑体"/>
          <w:sz w:val="32"/>
          <w:szCs w:val="32"/>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bookmarkStart w:id="0" w:name="_Toc96960251"/>
    </w:p>
    <w:p>
      <w:pPr>
        <w:spacing w:line="360" w:lineRule="auto"/>
        <w:ind w:firstLine="640" w:firstLineChars="200"/>
        <w:outlineLvl w:val="0"/>
        <w:rPr>
          <w:rFonts w:hint="eastAsia" w:ascii="黑体" w:hAnsi="黑体" w:eastAsia="黑体"/>
          <w:sz w:val="32"/>
          <w:szCs w:val="32"/>
        </w:rPr>
      </w:pPr>
      <w:r>
        <w:rPr>
          <w:rFonts w:hint="eastAsia" w:ascii="仿宋_GB2312" w:hAnsi="仿宋_GB2312" w:eastAsia="仿宋_GB2312" w:cs="仿宋_GB2312"/>
          <w:kern w:val="2"/>
          <w:sz w:val="32"/>
          <w:lang w:val="en-US" w:eastAsia="zh-CN"/>
        </w:rPr>
        <w:t>受</w:t>
      </w:r>
      <w:r>
        <w:rPr>
          <w:rFonts w:hint="eastAsia" w:ascii="仿宋_GB2312" w:hAnsi="仿宋_GB2312" w:eastAsia="仿宋_GB2312" w:cs="仿宋_GB2312"/>
          <w:kern w:val="2"/>
          <w:sz w:val="32"/>
          <w:highlight w:val="none"/>
          <w:lang w:val="en-US" w:eastAsia="zh-CN"/>
        </w:rPr>
        <w:t>韶关市曲江区财政局委托，</w:t>
      </w:r>
      <w:r>
        <w:rPr>
          <w:rFonts w:hint="eastAsia" w:ascii="仿宋_GB2312" w:hAnsi="仿宋_GB2312" w:eastAsia="仿宋_GB2312" w:cs="仿宋_GB2312"/>
          <w:kern w:val="2"/>
          <w:sz w:val="32"/>
          <w:highlight w:val="none"/>
        </w:rPr>
        <w:t>众致（广州）会计师事务所（普通合伙）</w:t>
      </w:r>
      <w:r>
        <w:rPr>
          <w:rFonts w:hint="eastAsia" w:ascii="仿宋_GB2312" w:hAnsi="仿宋_GB2312" w:eastAsia="仿宋_GB2312" w:cs="仿宋_GB2312"/>
          <w:kern w:val="2"/>
          <w:sz w:val="32"/>
          <w:highlight w:val="none"/>
          <w:lang w:val="en-US" w:eastAsia="zh-CN"/>
        </w:rPr>
        <w:t>对韶关市曲江区</w:t>
      </w:r>
      <w:r>
        <w:rPr>
          <w:rFonts w:hint="eastAsia" w:ascii="仿宋_GB2312" w:hAnsi="仿宋_GB2312" w:eastAsia="仿宋_GB2312" w:cs="仿宋_GB2312"/>
          <w:kern w:val="2"/>
          <w:sz w:val="32"/>
          <w:highlight w:val="none"/>
          <w:lang w:eastAsia="zh-CN"/>
        </w:rPr>
        <w:t>2023</w:t>
      </w:r>
      <w:r>
        <w:rPr>
          <w:rFonts w:hint="eastAsia" w:ascii="仿宋_GB2312" w:hAnsi="仿宋_GB2312" w:eastAsia="仿宋_GB2312" w:cs="仿宋_GB2312"/>
          <w:kern w:val="2"/>
          <w:sz w:val="32"/>
          <w:highlight w:val="none"/>
        </w:rPr>
        <w:t>年</w:t>
      </w:r>
      <w:r>
        <w:rPr>
          <w:rFonts w:hint="eastAsia" w:ascii="仿宋_GB2312" w:hAnsi="仿宋_GB2312" w:eastAsia="仿宋_GB2312" w:cs="仿宋_GB2312"/>
          <w:kern w:val="2"/>
          <w:sz w:val="32"/>
          <w:highlight w:val="none"/>
          <w:lang w:val="en-US" w:eastAsia="zh-CN"/>
        </w:rPr>
        <w:t>度省级</w:t>
      </w:r>
      <w:r>
        <w:rPr>
          <w:rFonts w:hint="eastAsia" w:ascii="仿宋_GB2312" w:hAnsi="仿宋_GB2312" w:eastAsia="仿宋_GB2312" w:cs="仿宋_GB2312"/>
          <w:kern w:val="2"/>
          <w:sz w:val="32"/>
          <w:highlight w:val="none"/>
        </w:rPr>
        <w:t>涉农统筹整合</w:t>
      </w:r>
      <w:r>
        <w:rPr>
          <w:rFonts w:hint="eastAsia" w:ascii="仿宋_GB2312" w:hAnsi="仿宋_GB2312" w:eastAsia="仿宋_GB2312" w:cs="仿宋_GB2312"/>
          <w:kern w:val="2"/>
          <w:sz w:val="32"/>
          <w:highlight w:val="none"/>
          <w:lang w:val="en-US" w:eastAsia="zh-CN"/>
        </w:rPr>
        <w:t>转移支付</w:t>
      </w:r>
      <w:r>
        <w:rPr>
          <w:rFonts w:hint="eastAsia" w:ascii="仿宋_GB2312" w:hAnsi="仿宋_GB2312" w:eastAsia="仿宋_GB2312" w:cs="仿宋_GB2312"/>
          <w:kern w:val="2"/>
          <w:sz w:val="32"/>
          <w:highlight w:val="none"/>
        </w:rPr>
        <w:t>资金</w:t>
      </w:r>
      <w:r>
        <w:rPr>
          <w:rFonts w:hint="eastAsia" w:ascii="仿宋_GB2312" w:hAnsi="仿宋_GB2312" w:eastAsia="仿宋_GB2312" w:cs="仿宋_GB2312"/>
          <w:kern w:val="2"/>
          <w:sz w:val="32"/>
          <w:highlight w:val="none"/>
          <w:lang w:val="en-US" w:eastAsia="zh-CN"/>
        </w:rPr>
        <w:t>实施重点绩效评价，形成本绩效评价报告。</w:t>
      </w:r>
    </w:p>
    <w:p>
      <w:pPr>
        <w:spacing w:line="360" w:lineRule="auto"/>
        <w:ind w:firstLine="640" w:firstLineChars="200"/>
        <w:outlineLvl w:val="0"/>
        <w:rPr>
          <w:rFonts w:ascii="黑体" w:hAnsi="黑体" w:eastAsia="黑体"/>
          <w:sz w:val="32"/>
          <w:szCs w:val="32"/>
        </w:rPr>
      </w:pPr>
      <w:r>
        <w:rPr>
          <w:rFonts w:hint="eastAsia" w:ascii="黑体" w:hAnsi="黑体" w:eastAsia="黑体"/>
          <w:sz w:val="32"/>
          <w:szCs w:val="32"/>
        </w:rPr>
        <w:t>一、基本情况</w:t>
      </w:r>
      <w:bookmarkEnd w:id="0"/>
    </w:p>
    <w:p>
      <w:pPr>
        <w:ind w:firstLine="642" w:firstLineChars="200"/>
        <w:outlineLvl w:val="1"/>
        <w:rPr>
          <w:rFonts w:eastAsia="楷体_GB2312"/>
          <w:b/>
          <w:bCs/>
          <w:sz w:val="32"/>
        </w:rPr>
      </w:pPr>
      <w:bookmarkStart w:id="1" w:name="_Toc624"/>
      <w:bookmarkStart w:id="2" w:name="_Toc15652"/>
      <w:bookmarkStart w:id="3" w:name="_Toc8566"/>
      <w:bookmarkStart w:id="4" w:name="_Toc24167"/>
      <w:bookmarkStart w:id="5" w:name="_Toc11081"/>
      <w:bookmarkStart w:id="6" w:name="_Toc96960252"/>
      <w:r>
        <w:rPr>
          <w:rFonts w:eastAsia="楷体_GB2312"/>
          <w:b/>
          <w:bCs/>
          <w:sz w:val="32"/>
        </w:rPr>
        <w:t>（一）</w:t>
      </w:r>
      <w:r>
        <w:rPr>
          <w:rFonts w:hint="eastAsia" w:eastAsia="楷体_GB2312"/>
          <w:b/>
          <w:bCs/>
          <w:sz w:val="32"/>
        </w:rPr>
        <w:t>项目</w:t>
      </w:r>
      <w:r>
        <w:rPr>
          <w:rFonts w:eastAsia="楷体_GB2312"/>
          <w:b/>
          <w:bCs/>
          <w:sz w:val="32"/>
        </w:rPr>
        <w:t>背景</w:t>
      </w:r>
      <w:bookmarkEnd w:id="1"/>
      <w:bookmarkEnd w:id="2"/>
      <w:bookmarkEnd w:id="3"/>
      <w:bookmarkEnd w:id="4"/>
      <w:bookmarkEnd w:id="5"/>
      <w:bookmarkEnd w:id="6"/>
    </w:p>
    <w:p>
      <w:pPr>
        <w:widowControl/>
        <w:ind w:firstLine="640" w:firstLineChars="200"/>
        <w:rPr>
          <w:rFonts w:hint="eastAsia" w:ascii="仿宋_GB2312" w:eastAsia="仿宋_GB2312"/>
          <w:sz w:val="32"/>
        </w:rPr>
      </w:pPr>
      <w:r>
        <w:rPr>
          <w:rFonts w:hint="eastAsia" w:ascii="仿宋_GB2312" w:eastAsia="仿宋_GB2312"/>
          <w:sz w:val="32"/>
        </w:rPr>
        <w:t>2018年底，广东省印发《广东省涉农资金统筹整合实施方案（试行）的通知》（粤府〔2018〕123号），全省涉农资金统筹整合工作正式启动。2022年5月，广东省人民政府办公厅印发《广东省人民政府办公厅关于进一步加强涉农资金统筹整合的实施意</w:t>
      </w:r>
      <w:r>
        <w:rPr>
          <w:rFonts w:hint="eastAsia" w:ascii="仿宋_GB2312" w:eastAsia="仿宋_GB2312"/>
          <w:sz w:val="32"/>
          <w:lang w:eastAsia="zh-CN"/>
        </w:rPr>
        <w:t>（</w:t>
      </w:r>
      <w:r>
        <w:rPr>
          <w:rFonts w:hint="eastAsia" w:ascii="仿宋_GB2312" w:eastAsia="仿宋_GB2312"/>
          <w:sz w:val="32"/>
        </w:rPr>
        <w:t>》</w:t>
      </w:r>
      <w:r>
        <w:rPr>
          <w:rFonts w:hint="eastAsia" w:ascii="仿宋_GB2312" w:eastAsia="仿宋_GB2312"/>
          <w:sz w:val="32"/>
          <w:lang w:eastAsia="zh-CN"/>
        </w:rPr>
        <w:t>（</w:t>
      </w:r>
      <w:r>
        <w:rPr>
          <w:rFonts w:hint="eastAsia" w:ascii="仿宋_GB2312" w:eastAsia="仿宋_GB2312"/>
          <w:sz w:val="32"/>
        </w:rPr>
        <w:t>粤府办〔2022〕18号</w:t>
      </w:r>
      <w:r>
        <w:rPr>
          <w:rFonts w:hint="eastAsia" w:ascii="仿宋_GB2312" w:eastAsia="仿宋_GB2312"/>
          <w:sz w:val="32"/>
          <w:lang w:eastAsia="zh-CN"/>
        </w:rPr>
        <w:t>）</w:t>
      </w:r>
      <w:r>
        <w:rPr>
          <w:rFonts w:hint="eastAsia" w:ascii="仿宋_GB2312" w:eastAsia="仿宋_GB2312"/>
          <w:sz w:val="32"/>
        </w:rPr>
        <w:t>，要求加</w:t>
      </w:r>
      <w:r>
        <w:rPr>
          <w:rFonts w:hint="eastAsia" w:ascii="仿宋_GB2312" w:eastAsia="仿宋_GB2312"/>
          <w:sz w:val="32"/>
          <w:lang w:val="en-US" w:eastAsia="zh-CN"/>
        </w:rPr>
        <w:t>大</w:t>
      </w:r>
      <w:r>
        <w:rPr>
          <w:rFonts w:hint="eastAsia" w:ascii="仿宋_GB2312" w:eastAsia="仿宋_GB2312"/>
          <w:sz w:val="32"/>
        </w:rPr>
        <w:t>涉农资金整合力度，实现涉农资金“五根手指头，握成一个硬拳头”；健全涉农项目储备机制，“自上而下”和“自下而上”相结合，实现涉农资金管理“一盘棋”；优化涉农资金投向，建立健全涉农资金大事要事保障机制；坚持绩效优先，提升资金监管效能。</w:t>
      </w:r>
    </w:p>
    <w:p>
      <w:pPr>
        <w:widowControl/>
        <w:ind w:firstLine="640" w:firstLineChars="200"/>
        <w:rPr>
          <w:rFonts w:ascii="仿宋_GB2312" w:eastAsia="仿宋_GB2312"/>
          <w:sz w:val="32"/>
        </w:rPr>
      </w:pPr>
      <w:r>
        <w:rPr>
          <w:rFonts w:hint="eastAsia" w:ascii="仿宋_GB2312" w:eastAsia="仿宋_GB2312"/>
          <w:sz w:val="32"/>
          <w:lang w:val="en-US" w:eastAsia="zh-CN"/>
        </w:rPr>
        <w:t>韶关市曲江区自2018年涉农资金统筹整合工作启动以来，建立了较为完善的管理工作机制，成立了韶关市曲江区涉农资金统筹整合工作领导小组（以下简称“区涉农领导小组”），下设韶关市曲江区涉农资金统筹整合工作领导小组办公室（以下简称“区涉农办”），统筹全区涉农资金管理工作；同时，曲江区还通过委托第三方机构，对涉农资金实现了全方位、全过程、全覆盖的绩效管理</w:t>
      </w:r>
      <w:r>
        <w:rPr>
          <w:rFonts w:hint="eastAsia" w:ascii="仿宋_GB2312" w:hAnsi="仿宋_GB2312" w:eastAsia="仿宋_GB2312" w:cs="仿宋_GB2312"/>
          <w:sz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2023年下达到曲江区的省级涉农统筹整合转移支付资金共20,728.05万元（其中，省级乡村振兴驻镇帮镇扶村资金12,888万元），涉及考核工作任务目标17项。其中，2022年12月26日收到15,138万元（其中，省级涉农资金5,238万元，省级乡村振兴驻镇帮镇扶村资金9,900万元）；2023年5月16日收到1088万元（均为省级涉农资金）；2023年9月19日收到2,988万元（均为省级乡村振兴驻镇帮镇扶村资金）；2023年10月26日收到1027.05万元（均为省级涉农资金）；2023年12月27日收到487万元（均为省级涉农资金）。</w:t>
      </w:r>
    </w:p>
    <w:p>
      <w:pPr>
        <w:ind w:firstLine="642" w:firstLineChars="200"/>
        <w:outlineLvl w:val="1"/>
        <w:rPr>
          <w:rFonts w:ascii="楷体_GB2312" w:hAnsi="楷体_GB2312" w:eastAsia="楷体_GB2312" w:cs="楷体_GB2312"/>
          <w:b/>
          <w:bCs/>
          <w:sz w:val="32"/>
        </w:rPr>
      </w:pPr>
      <w:bookmarkStart w:id="7" w:name="_Toc12289"/>
      <w:bookmarkStart w:id="8" w:name="_Toc96960253"/>
      <w:bookmarkStart w:id="9" w:name="_Toc7761"/>
      <w:bookmarkStart w:id="10" w:name="_Toc11934"/>
      <w:bookmarkStart w:id="11" w:name="_Toc12875"/>
      <w:bookmarkStart w:id="12" w:name="_Toc4075"/>
      <w:r>
        <w:rPr>
          <w:rFonts w:hint="eastAsia" w:ascii="楷体_GB2312" w:hAnsi="楷体_GB2312" w:eastAsia="楷体_GB2312" w:cs="楷体_GB2312"/>
          <w:b/>
          <w:bCs/>
          <w:sz w:val="32"/>
        </w:rPr>
        <w:t>（二）资金安排情况</w:t>
      </w:r>
      <w:bookmarkEnd w:id="7"/>
      <w:bookmarkEnd w:id="8"/>
      <w:bookmarkEnd w:id="9"/>
      <w:bookmarkEnd w:id="10"/>
    </w:p>
    <w:p>
      <w:pPr>
        <w:widowControl/>
        <w:ind w:firstLine="640" w:firstLineChars="200"/>
        <w:rPr>
          <w:rFonts w:ascii="仿宋_GB2312" w:eastAsia="仿宋_GB2312"/>
          <w:sz w:val="32"/>
        </w:rPr>
      </w:pPr>
      <w:r>
        <w:rPr>
          <w:rFonts w:hint="eastAsia" w:ascii="仿宋_GB2312" w:hAnsi="仿宋_GB2312" w:eastAsia="仿宋_GB2312" w:cs="仿宋_GB2312"/>
          <w:b w:val="0"/>
          <w:bCs w:val="0"/>
          <w:sz w:val="32"/>
          <w:szCs w:val="32"/>
          <w:lang w:val="en-US" w:eastAsia="zh-CN"/>
        </w:rPr>
        <w:t>2023年曲江区的省级涉农统筹整合转移支付资金（含省级乡村振兴驻镇帮镇扶村资金）共安排了</w:t>
      </w:r>
      <w:r>
        <w:rPr>
          <w:rFonts w:hint="eastAsia" w:ascii="仿宋_GB2312" w:eastAsia="仿宋_GB2312"/>
          <w:sz w:val="32"/>
          <w:lang w:val="en-US" w:eastAsia="zh-CN"/>
        </w:rPr>
        <w:t>103</w:t>
      </w:r>
      <w:r>
        <w:rPr>
          <w:rFonts w:hint="eastAsia" w:ascii="仿宋_GB2312" w:eastAsia="仿宋_GB2312"/>
          <w:sz w:val="32"/>
        </w:rPr>
        <w:t>个涉农资金项目，</w:t>
      </w:r>
      <w:r>
        <w:rPr>
          <w:rFonts w:hint="eastAsia" w:ascii="仿宋_GB2312" w:eastAsia="仿宋_GB2312"/>
          <w:sz w:val="32"/>
          <w:lang w:val="en-US" w:eastAsia="zh-CN"/>
        </w:rPr>
        <w:t>资金</w:t>
      </w:r>
      <w:r>
        <w:rPr>
          <w:rFonts w:hint="eastAsia" w:ascii="仿宋_GB2312" w:eastAsia="仿宋_GB2312"/>
          <w:sz w:val="32"/>
        </w:rPr>
        <w:t>安排情况见表</w:t>
      </w:r>
      <w:r>
        <w:rPr>
          <w:rFonts w:hint="eastAsia" w:ascii="仿宋_GB2312" w:eastAsia="仿宋_GB2312"/>
          <w:sz w:val="32"/>
          <w:lang w:val="en-US" w:eastAsia="zh-CN"/>
        </w:rPr>
        <w:t>1-1</w:t>
      </w:r>
      <w:r>
        <w:rPr>
          <w:rFonts w:hint="eastAsia" w:ascii="仿宋_GB2312" w:eastAsia="仿宋_GB2312"/>
          <w:sz w:val="32"/>
        </w:rPr>
        <w:t>：</w:t>
      </w:r>
    </w:p>
    <w:p>
      <w:pPr>
        <w:snapToGrid w:val="0"/>
        <w:spacing w:before="156" w:beforeLines="50" w:after="156" w:afterLines="50"/>
        <w:jc w:val="center"/>
        <w:rPr>
          <w:rFonts w:ascii="黑体" w:hAnsi="黑体" w:eastAsia="黑体"/>
          <w:sz w:val="28"/>
          <w:szCs w:val="28"/>
        </w:rPr>
      </w:pPr>
      <w:r>
        <w:rPr>
          <w:rFonts w:hint="eastAsia" w:ascii="黑体" w:hAnsi="黑体" w:eastAsia="黑体"/>
          <w:sz w:val="28"/>
          <w:szCs w:val="28"/>
        </w:rPr>
        <w:t>表1</w:t>
      </w:r>
      <w:r>
        <w:rPr>
          <w:rFonts w:hint="eastAsia" w:ascii="黑体" w:hAnsi="黑体" w:eastAsia="黑体"/>
          <w:sz w:val="28"/>
          <w:szCs w:val="28"/>
          <w:lang w:val="en-US" w:eastAsia="zh-CN"/>
        </w:rPr>
        <w:t>-1</w:t>
      </w:r>
      <w:r>
        <w:rPr>
          <w:rFonts w:hint="eastAsia" w:ascii="黑体" w:hAnsi="黑体" w:eastAsia="黑体"/>
          <w:sz w:val="28"/>
          <w:szCs w:val="28"/>
        </w:rPr>
        <w:t xml:space="preserve">   </w:t>
      </w:r>
      <w:r>
        <w:rPr>
          <w:rFonts w:hint="eastAsia" w:ascii="黑体" w:hAnsi="黑体" w:eastAsia="黑体"/>
          <w:sz w:val="28"/>
          <w:szCs w:val="28"/>
          <w:lang w:eastAsia="zh-CN"/>
        </w:rPr>
        <w:t>2023</w:t>
      </w:r>
      <w:r>
        <w:rPr>
          <w:rFonts w:hint="eastAsia" w:ascii="黑体" w:hAnsi="黑体" w:eastAsia="黑体"/>
          <w:sz w:val="28"/>
          <w:szCs w:val="28"/>
        </w:rPr>
        <w:t>年曲江区涉农资金安排情况表</w:t>
      </w:r>
    </w:p>
    <w:tbl>
      <w:tblPr>
        <w:tblStyle w:val="12"/>
        <w:tblW w:w="922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55"/>
        <w:gridCol w:w="1095"/>
        <w:gridCol w:w="2565"/>
        <w:gridCol w:w="2820"/>
        <w:gridCol w:w="936"/>
        <w:gridCol w:w="12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i w:val="0"/>
                <w:iCs w:val="0"/>
                <w:color w:val="000000"/>
                <w:sz w:val="24"/>
                <w:szCs w:val="24"/>
                <w:u w:val="none"/>
              </w:rPr>
            </w:pPr>
            <w:bookmarkStart w:id="13" w:name="_Toc1539"/>
            <w:bookmarkStart w:id="14" w:name="_Toc10189"/>
            <w:bookmarkStart w:id="15" w:name="_Toc28786"/>
            <w:r>
              <w:rPr>
                <w:rFonts w:hint="eastAsia" w:ascii="仿宋_GB2312" w:hAnsi="宋体" w:eastAsia="仿宋_GB2312" w:cs="仿宋_GB2312"/>
                <w:i w:val="0"/>
                <w:iCs w:val="0"/>
                <w:color w:val="000000"/>
                <w:kern w:val="0"/>
                <w:sz w:val="24"/>
                <w:szCs w:val="24"/>
                <w:u w:val="none"/>
                <w:lang w:val="en-US" w:eastAsia="zh-CN" w:bidi="ar"/>
              </w:rPr>
              <w:t>序号</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区主管单位</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对应一级项目</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项目分类</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项目数（个）</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安排金额（万元）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70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曲江区合计</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104</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 xml:space="preserve">20728.05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b/>
                <w:bCs/>
                <w:i w:val="0"/>
                <w:iCs w:val="0"/>
                <w:color w:val="000000"/>
                <w:sz w:val="24"/>
                <w:szCs w:val="24"/>
                <w:u w:val="none"/>
              </w:rPr>
            </w:pPr>
          </w:p>
        </w:tc>
        <w:tc>
          <w:tcPr>
            <w:tcW w:w="53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区农业农村局小计</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27</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 xml:space="preserve">8883.55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区农业农村局</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推进农业绿色发展</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受污染耕地安全利用</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1108.50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动植物疫病防控</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植物疫病防控</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47.00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农田建设与管护</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高标准农田建设及管护</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4683.05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村庄基础设施建设</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美丽乡村建设</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160.67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村庄基础设施建设</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农村改厕问题摸排整改</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170.00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农业生产能力提升</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粮食生产补助项目</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885.00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农田建设与管护</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耕地质量管理</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农村生活污水治理</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农村生活污水治理</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285.00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畜牧业转型升级</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养殖环节无害化处理补助</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26.00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政策性农业保险省级财政保费补贴</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政策性农业保险省级财政保费补贴</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754.83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11</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构建现代乡村产业体系</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农业新型经营主体发展</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88.50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构建现代乡村产业体系</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扶持壮大村集体经济</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140.00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13</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农产品质量安全</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屠宰环节生猪无害化处理补助</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14</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动植物疫病防控</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动物疫病防控</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15.00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15</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农产品质量安全</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农产品质量安全监测检测</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45.00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16</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驻镇帮镇扶村（提升产业发展水平）</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产业基础设施建设类</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460.00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b/>
                <w:bCs/>
                <w:i w:val="0"/>
                <w:iCs w:val="0"/>
                <w:color w:val="000000"/>
                <w:sz w:val="24"/>
                <w:szCs w:val="24"/>
                <w:u w:val="none"/>
              </w:rPr>
            </w:pPr>
          </w:p>
        </w:tc>
        <w:tc>
          <w:tcPr>
            <w:tcW w:w="53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区水务局小计</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17</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 xml:space="preserve">3703.74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17</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区水务局</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全面推进河长制湖长制</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河湖管护</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360.00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农村水利水电</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农业水价综合改革</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108.00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19</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水利安全度汛</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水旱灾害防御工作</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1087.81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水利工程运行管护</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水利工程运行管护</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388.40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21</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水库移民后期扶持</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水库移民后期扶持</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50.50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22</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农村集中供水</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农村集中供水</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132.74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23</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水土保持</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水土流失治理</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27.30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24</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病险水库水闸除险加固</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大中型病险水库除险加固项目</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1549.00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b/>
                <w:bCs/>
                <w:i w:val="0"/>
                <w:iCs w:val="0"/>
                <w:color w:val="000000"/>
                <w:sz w:val="24"/>
                <w:szCs w:val="24"/>
                <w:u w:val="none"/>
              </w:rPr>
            </w:pPr>
          </w:p>
        </w:tc>
        <w:tc>
          <w:tcPr>
            <w:tcW w:w="53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区自然资源局小计</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13</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 xml:space="preserve">1793.00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25</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区自然资源局</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食用林产品质量安全</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食用林产品质量安全</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3.55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26</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永久基本农田保护</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农村土地整治</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427.00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27</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林业有害生物防控</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森林草原湿地外来入侵物种普查</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35.00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松材线虫病等林业有害生物预防与除治</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429.20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29</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造林与生态修复</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古树名木保护管理</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30</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高质量水源林建设</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540.37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31</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乡村绿化美化建设</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94.39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32</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森林资源保护与监测</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林草生态综合监测评价</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33</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政策性森林保险省级财政保费补贴</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政策性森林保险省级财政保费补贴</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140.00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34</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林业产业发展</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油茶产业发展</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63.48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b/>
                <w:bCs/>
                <w:i w:val="0"/>
                <w:iCs w:val="0"/>
                <w:color w:val="000000"/>
                <w:sz w:val="24"/>
                <w:szCs w:val="24"/>
                <w:u w:val="none"/>
              </w:rPr>
            </w:pPr>
          </w:p>
        </w:tc>
        <w:tc>
          <w:tcPr>
            <w:tcW w:w="53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区交通运输局小计</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31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 xml:space="preserve">3536.78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35</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区交通运输局</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四好农村路</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日常养护</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228.56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36</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四好农村路</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建制村通双车道工程</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13</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2142.12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37</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四好农村路</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路网联结改造工程</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529.16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38</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四好农村路</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危旧桥改造工程</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565.95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4"/>
                <w:szCs w:val="24"/>
                <w:u w:val="none"/>
                <w:lang w:val="en-US"/>
              </w:rPr>
            </w:pPr>
            <w:r>
              <w:rPr>
                <w:rFonts w:hint="eastAsia" w:ascii="仿宋_GB2312" w:hAnsi="宋体" w:eastAsia="仿宋_GB2312" w:cs="仿宋_GB2312"/>
                <w:i w:val="0"/>
                <w:iCs w:val="0"/>
                <w:color w:val="000000"/>
                <w:kern w:val="0"/>
                <w:sz w:val="24"/>
                <w:szCs w:val="24"/>
                <w:u w:val="none"/>
                <w:lang w:val="en-US" w:eastAsia="zh-CN" w:bidi="ar"/>
              </w:rPr>
              <w:t>39</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四好农村路</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养护工程</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71.00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b/>
                <w:bCs/>
                <w:i w:val="0"/>
                <w:iCs w:val="0"/>
                <w:color w:val="000000"/>
                <w:sz w:val="24"/>
                <w:szCs w:val="24"/>
                <w:u w:val="none"/>
              </w:rPr>
            </w:pPr>
          </w:p>
        </w:tc>
        <w:tc>
          <w:tcPr>
            <w:tcW w:w="53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区卫生健康局小计</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3</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 xml:space="preserve">688.00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40</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区卫生健康局</w:t>
            </w:r>
          </w:p>
        </w:tc>
        <w:tc>
          <w:tcPr>
            <w:tcW w:w="25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驻镇帮镇扶村（提升镇域公共服务能力）</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县域医共体检查检验结果共享项目</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414.27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41</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县域医共体肿瘤防治中心早癌筛查项目</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200.00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42</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县域医共体基层医疗机构特色科室建设项目</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73.73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vAlign w:val="center"/>
          </w:tcPr>
          <w:p>
            <w:pPr>
              <w:jc w:val="center"/>
              <w:rPr>
                <w:rFonts w:hint="eastAsia" w:ascii="仿宋_GB2312" w:hAnsi="宋体" w:eastAsia="仿宋_GB2312" w:cs="仿宋_GB2312"/>
                <w:b/>
                <w:bCs/>
                <w:i w:val="0"/>
                <w:iCs w:val="0"/>
                <w:color w:val="000000"/>
                <w:sz w:val="24"/>
                <w:szCs w:val="24"/>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宋体" w:eastAsia="仿宋_GB2312" w:cs="仿宋_GB2312"/>
                <w:b/>
                <w:bCs/>
                <w:i w:val="0"/>
                <w:iCs w:val="0"/>
                <w:color w:val="000000"/>
                <w:sz w:val="24"/>
                <w:szCs w:val="24"/>
                <w:u w:val="none"/>
              </w:rPr>
            </w:pPr>
          </w:p>
        </w:tc>
        <w:tc>
          <w:tcPr>
            <w:tcW w:w="53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区文化广电旅游体育局小计</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2</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 xml:space="preserve">98.00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43</w:t>
            </w:r>
          </w:p>
        </w:tc>
        <w:tc>
          <w:tcPr>
            <w:tcW w:w="10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区文化广电旅游体育局</w:t>
            </w:r>
          </w:p>
        </w:tc>
        <w:tc>
          <w:tcPr>
            <w:tcW w:w="25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驻镇帮镇扶村（提升镇域公共服务能力）</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行政村综合性文化服务中心达标建设</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44</w:t>
            </w:r>
          </w:p>
        </w:tc>
        <w:tc>
          <w:tcPr>
            <w:tcW w:w="10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5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镇村公共服务类</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18.00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45</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区住房和城乡建设管理局</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驻镇帮镇扶村（提升镇村公共基础设施水平）</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乡镇人居环境整治和小型公益性基础设施建设</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1813.48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46</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区气象局</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驻镇帮镇扶村（提升镇域公共服务能力）</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镇村公共服务类</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178.00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47</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区财政局</w:t>
            </w:r>
          </w:p>
        </w:tc>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工作经费</w:t>
            </w:r>
          </w:p>
        </w:tc>
        <w:tc>
          <w:tcPr>
            <w:tcW w:w="28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工作经费</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c>
          <w:tcPr>
            <w:tcW w:w="12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33.50 </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firstLine="642" w:firstLineChars="200"/>
        <w:textAlignment w:val="auto"/>
        <w:outlineLvl w:val="0"/>
        <w:rPr>
          <w:rFonts w:eastAsia="楷体_GB2312"/>
          <w:b/>
          <w:bCs/>
          <w:sz w:val="32"/>
        </w:rPr>
      </w:pPr>
      <w:bookmarkStart w:id="16" w:name="_Toc96960254"/>
      <w:r>
        <w:rPr>
          <w:rFonts w:eastAsia="楷体_GB2312"/>
          <w:b/>
          <w:bCs/>
          <w:sz w:val="32"/>
        </w:rPr>
        <w:t>（</w:t>
      </w:r>
      <w:r>
        <w:rPr>
          <w:rFonts w:hint="eastAsia" w:eastAsia="楷体_GB2312"/>
          <w:b/>
          <w:bCs/>
          <w:sz w:val="32"/>
        </w:rPr>
        <w:t>三</w:t>
      </w:r>
      <w:r>
        <w:rPr>
          <w:rFonts w:eastAsia="楷体_GB2312"/>
          <w:b/>
          <w:bCs/>
          <w:sz w:val="32"/>
        </w:rPr>
        <w:t>）绩效目标</w:t>
      </w:r>
      <w:bookmarkEnd w:id="11"/>
      <w:bookmarkEnd w:id="12"/>
      <w:bookmarkEnd w:id="13"/>
      <w:bookmarkEnd w:id="14"/>
      <w:bookmarkEnd w:id="15"/>
      <w:bookmarkEnd w:id="16"/>
    </w:p>
    <w:p>
      <w:pPr>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根据</w:t>
      </w:r>
      <w:r>
        <w:rPr>
          <w:rFonts w:hint="eastAsia" w:ascii="仿宋_GB2312" w:hAnsi="仿宋_GB2312" w:eastAsia="仿宋_GB2312" w:cs="仿宋_GB2312"/>
          <w:sz w:val="32"/>
          <w:lang w:eastAsia="zh-CN"/>
        </w:rPr>
        <w:t>《关于提前下达2023年省级涉农统筹整合转移支付资金的通知》（韶财农〔2022〕163号）</w:t>
      </w:r>
      <w:r>
        <w:rPr>
          <w:rFonts w:hint="eastAsia" w:ascii="仿宋_GB2312" w:hAnsi="仿宋_GB2312" w:eastAsia="仿宋_GB2312" w:cs="仿宋_GB2312"/>
          <w:sz w:val="32"/>
          <w:lang w:val="en-US" w:eastAsia="zh-CN"/>
        </w:rPr>
        <w:t>和</w:t>
      </w:r>
      <w:r>
        <w:rPr>
          <w:rFonts w:hint="eastAsia" w:ascii="仿宋_GB2312" w:hAnsi="仿宋_GB2312" w:eastAsia="仿宋_GB2312" w:cs="仿宋_GB2312"/>
          <w:sz w:val="32"/>
        </w:rPr>
        <w:t>《关于下达2023年省级涉农统筹整合转移支付资金（第二批）的通知》（韶财农〔2023〕44号），曲江区</w:t>
      </w:r>
      <w:r>
        <w:rPr>
          <w:rFonts w:hint="eastAsia" w:ascii="仿宋_GB2312" w:hAnsi="仿宋_GB2312" w:eastAsia="仿宋_GB2312" w:cs="仿宋_GB2312"/>
          <w:sz w:val="32"/>
          <w:lang w:eastAsia="zh-CN"/>
        </w:rPr>
        <w:t>2023</w:t>
      </w:r>
      <w:r>
        <w:rPr>
          <w:rFonts w:hint="eastAsia" w:ascii="仿宋_GB2312" w:hAnsi="仿宋_GB2312" w:eastAsia="仿宋_GB2312" w:cs="仿宋_GB2312"/>
          <w:sz w:val="32"/>
        </w:rPr>
        <w:t>年</w:t>
      </w:r>
      <w:r>
        <w:rPr>
          <w:rFonts w:hint="eastAsia" w:ascii="仿宋_GB2312" w:hAnsi="仿宋_GB2312" w:eastAsia="仿宋_GB2312" w:cs="仿宋_GB2312"/>
          <w:sz w:val="32"/>
          <w:lang w:eastAsia="zh-CN"/>
        </w:rPr>
        <w:t>涉农资金</w:t>
      </w:r>
      <w:r>
        <w:rPr>
          <w:rFonts w:hint="eastAsia" w:ascii="仿宋_GB2312" w:hAnsi="仿宋_GB2312" w:eastAsia="仿宋_GB2312" w:cs="仿宋_GB2312"/>
          <w:sz w:val="32"/>
        </w:rPr>
        <w:t>优先支持的考核工作任务清单</w:t>
      </w:r>
      <w:r>
        <w:rPr>
          <w:rFonts w:hint="eastAsia" w:ascii="仿宋_GB2312" w:hAnsi="仿宋_GB2312" w:eastAsia="仿宋_GB2312" w:cs="仿宋_GB2312"/>
          <w:sz w:val="32"/>
          <w:lang w:val="en-US" w:eastAsia="zh-CN"/>
        </w:rPr>
        <w:t>和省级涉农统筹整合转移支付资金区域绩效目标表分别见</w:t>
      </w:r>
      <w:r>
        <w:rPr>
          <w:rFonts w:hint="eastAsia" w:ascii="仿宋_GB2312" w:hAnsi="仿宋_GB2312" w:eastAsia="仿宋_GB2312" w:cs="仿宋_GB2312"/>
          <w:sz w:val="32"/>
        </w:rPr>
        <w:t>表</w:t>
      </w:r>
      <w:r>
        <w:rPr>
          <w:rFonts w:hint="eastAsia" w:ascii="仿宋_GB2312" w:hAnsi="仿宋_GB2312" w:eastAsia="仿宋_GB2312" w:cs="仿宋_GB2312"/>
          <w:sz w:val="32"/>
          <w:lang w:val="en-US" w:eastAsia="zh-CN"/>
        </w:rPr>
        <w:t>1-2和表1-3</w:t>
      </w:r>
      <w:r>
        <w:rPr>
          <w:rFonts w:hint="eastAsia" w:ascii="仿宋_GB2312" w:hAnsi="仿宋_GB2312" w:eastAsia="仿宋_GB2312" w:cs="仿宋_GB2312"/>
          <w:sz w:val="32"/>
        </w:rPr>
        <w:t>：</w:t>
      </w:r>
    </w:p>
    <w:p>
      <w:pPr>
        <w:jc w:val="center"/>
        <w:rPr>
          <w:rFonts w:ascii="黑体" w:hAnsi="黑体" w:eastAsia="黑体" w:cs="黑体"/>
          <w:sz w:val="28"/>
          <w:szCs w:val="28"/>
        </w:rPr>
      </w:pPr>
      <w:r>
        <w:rPr>
          <w:rFonts w:hint="eastAsia" w:ascii="黑体" w:hAnsi="黑体" w:eastAsia="黑体" w:cs="黑体"/>
          <w:sz w:val="28"/>
          <w:szCs w:val="28"/>
        </w:rPr>
        <w:t>表</w:t>
      </w:r>
      <w:r>
        <w:rPr>
          <w:rFonts w:hint="eastAsia" w:ascii="黑体" w:hAnsi="黑体" w:eastAsia="黑体" w:cs="黑体"/>
          <w:sz w:val="28"/>
          <w:szCs w:val="28"/>
          <w:lang w:val="en-US" w:eastAsia="zh-CN"/>
        </w:rPr>
        <w:t>1-2</w:t>
      </w:r>
      <w:r>
        <w:rPr>
          <w:rFonts w:hint="eastAsia" w:ascii="黑体" w:hAnsi="黑体" w:eastAsia="黑体" w:cs="黑体"/>
          <w:sz w:val="28"/>
          <w:szCs w:val="28"/>
        </w:rPr>
        <w:t xml:space="preserve">  </w:t>
      </w:r>
      <w:r>
        <w:rPr>
          <w:rFonts w:hint="eastAsia" w:ascii="黑体" w:hAnsi="黑体" w:eastAsia="黑体" w:cs="黑体"/>
          <w:sz w:val="28"/>
          <w:szCs w:val="28"/>
          <w:lang w:eastAsia="zh-CN"/>
        </w:rPr>
        <w:t>2023</w:t>
      </w:r>
      <w:r>
        <w:rPr>
          <w:rFonts w:hint="eastAsia" w:ascii="黑体" w:hAnsi="黑体" w:eastAsia="黑体" w:cs="黑体"/>
          <w:sz w:val="28"/>
          <w:szCs w:val="28"/>
        </w:rPr>
        <w:t>年</w:t>
      </w:r>
      <w:r>
        <w:rPr>
          <w:rFonts w:hint="eastAsia" w:ascii="黑体" w:hAnsi="黑体" w:eastAsia="黑体" w:cs="黑体"/>
          <w:sz w:val="28"/>
          <w:szCs w:val="28"/>
          <w:lang w:val="en-US" w:eastAsia="zh-CN"/>
        </w:rPr>
        <w:t>涉农资金优先支持的考核工作任务清单</w:t>
      </w:r>
    </w:p>
    <w:tbl>
      <w:tblPr>
        <w:tblStyle w:val="12"/>
        <w:tblW w:w="860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623"/>
        <w:gridCol w:w="4546"/>
        <w:gridCol w:w="14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考核工作任务</w:t>
            </w: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对应量化指标</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任务目标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巩固拓展脱贫攻坚成果</w:t>
            </w: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不发生规模性返贫（是/否）</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食用林产品和农产品质量安全监测</w:t>
            </w: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开展农产品质量安全监测数量（批次）</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开展食用林产品质量安全监测数量（批次）</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粮食安全</w:t>
            </w: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粮食播种面积（万亩）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17.63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粮食产量（万吨）</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大豆播种面积（万亩）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油料播种面积（万亩）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水稻耕种收综合机械化率（%）</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高标准农田建设</w:t>
            </w: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当年度新建高标准农田面积（万亩）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当年度改造提升高标准农田面积（万亩）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受污染耕地安全利用</w:t>
            </w: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受污染耕地安全利用率（%）</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动物防疫</w:t>
            </w: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重大动物疫情处置率（%）</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大规模随意抛弃病死猪事件（有/无）</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强制免疫病种应免畜禽的免疫密度（%）</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免疫抗体合格率（%）</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生猪产能调控</w:t>
            </w: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规模猪场（户）保有量（户）</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能繁母猪保有量（万头）</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第三次全国土壤普查</w:t>
            </w: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外业调查采样工作完成率（%）</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内业样品检测工作完成率（%）</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河湖管护</w:t>
            </w: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完成河湖管护长度（公里）</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2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病险水库除险加固</w:t>
            </w: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当年度新增完成现有大中型病险水库除险加固数量（座）</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当年度新增完成现有小型病险水库除险加固数量（座）</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水土保持</w:t>
            </w: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新增水土流失治理面积（平方公里）</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农业水价综合改革及大中型灌区节水改造</w:t>
            </w: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新增农业水价综合改革实施面积（万亩）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完成年度投资计划的重点中型灌区节水配套项目宗数（宗）</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造林及抚育</w:t>
            </w: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一、森林质量精准提升面积（亩）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15225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（一）人工造林面积（亩）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（二）低质低效林分改造面积（亩）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5710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     其中： 新造油茶林面积（亩）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（三）封山育林（亩）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（四）森林抚育面积（亩）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4400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     其中：油茶低改及抚育面积（亩）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（五）新造林抚育面积（亩）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2855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2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自然保护地整合优化</w:t>
            </w: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自然保护地范围边界矢量化数据制作工作量完成率（%）</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自然保护区总体规划、综合科学考察工作量完成率（%）</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自然公园总体规划和综合科学考察工作量完成率（%）</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森林灾害防控</w:t>
            </w: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林业有害生物防治作业面积（万亩）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≥3.8027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其中：松材线虫病防治作业面积（万亩）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≥3.8027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林业有害生物成灾率（‰）</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≤20.27‰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4"/>
                <w:szCs w:val="24"/>
                <w:u w:val="none"/>
              </w:rPr>
            </w:pP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森林火灾受害率（‰）</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农村生活污水治理</w:t>
            </w: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当年度新增完成农村生活污水治理自然村数量（个）</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2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永久基本农田保护</w:t>
            </w:r>
          </w:p>
        </w:tc>
        <w:tc>
          <w:tcPr>
            <w:tcW w:w="4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永久基本农田保护面积（万亩）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14.23 </w:t>
            </w:r>
          </w:p>
        </w:tc>
      </w:tr>
    </w:tbl>
    <w:p>
      <w:pPr>
        <w:jc w:val="center"/>
        <w:rPr>
          <w:rFonts w:hint="eastAsia" w:ascii="黑体" w:hAnsi="黑体" w:eastAsia="黑体" w:cs="仿宋"/>
          <w:sz w:val="28"/>
          <w:szCs w:val="28"/>
        </w:rPr>
      </w:pPr>
    </w:p>
    <w:p>
      <w:pPr>
        <w:jc w:val="center"/>
        <w:rPr>
          <w:rFonts w:ascii="黑体" w:hAnsi="黑体" w:eastAsia="黑体" w:cs="仿宋"/>
          <w:sz w:val="28"/>
          <w:szCs w:val="28"/>
        </w:rPr>
      </w:pPr>
      <w:r>
        <w:rPr>
          <w:rFonts w:hint="eastAsia" w:ascii="黑体" w:hAnsi="黑体" w:eastAsia="黑体" w:cs="仿宋"/>
          <w:sz w:val="28"/>
          <w:szCs w:val="28"/>
        </w:rPr>
        <w:t>表</w:t>
      </w:r>
      <w:r>
        <w:rPr>
          <w:rFonts w:hint="eastAsia" w:ascii="黑体" w:hAnsi="黑体" w:eastAsia="黑体" w:cs="仿宋"/>
          <w:sz w:val="28"/>
          <w:szCs w:val="28"/>
          <w:lang w:val="en-US" w:eastAsia="zh-CN"/>
        </w:rPr>
        <w:t>1-3</w:t>
      </w:r>
      <w:r>
        <w:rPr>
          <w:rFonts w:hint="eastAsia" w:ascii="黑体" w:hAnsi="黑体" w:eastAsia="黑体" w:cs="仿宋"/>
          <w:sz w:val="28"/>
          <w:szCs w:val="28"/>
        </w:rPr>
        <w:t xml:space="preserve">  </w:t>
      </w:r>
      <w:r>
        <w:rPr>
          <w:rFonts w:hint="eastAsia" w:ascii="黑体" w:hAnsi="黑体" w:eastAsia="黑体" w:cs="黑体"/>
          <w:sz w:val="28"/>
          <w:szCs w:val="28"/>
          <w:lang w:eastAsia="zh-CN"/>
        </w:rPr>
        <w:t>2023年省级涉农统筹整合转移支付资金区域绩效目标表</w:t>
      </w:r>
    </w:p>
    <w:tbl>
      <w:tblPr>
        <w:tblStyle w:val="12"/>
        <w:tblW w:w="944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616"/>
        <w:gridCol w:w="3792"/>
        <w:gridCol w:w="1369"/>
        <w:gridCol w:w="1235"/>
        <w:gridCol w:w="14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绩效目标</w:t>
            </w:r>
          </w:p>
        </w:tc>
        <w:tc>
          <w:tcPr>
            <w:tcW w:w="379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具体指标</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指标类型</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单位</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目标值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巩固拓展脱贫攻坚成果（主要支持产业扶贫等）</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帮扶对象人口数</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万人</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0.0007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带动帮扶对象增加收入（总收入）</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经济效益</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万元</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不发生规模性返贫</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社会效益</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是/否</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保障农产品质量安全（食用林产品和农产品质量安全监测）</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农产品质量安全风险监测样本量</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批次</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农产品质量安全监督抽查样品量</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次</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不发生重大农产品质量安全事故</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社会效益</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是/否</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食用林产品监测数量</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批次</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保障粮食安全（主要支持粮食种植、农业机械化及植物疫病防控等）</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粮食播种面积</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17.635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粮食总产量</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万吨</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7.59312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水稻耕种收综合机械化率</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质量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81.01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农作物重大病虫害不暴发成灾，重大植物疫情不恶性蔓延</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社会效益</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是/否</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推进农田建设（推进高标准农田建设，复耕整治撂荒地面积）</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当年度新建高标准农田面积</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万亩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当年度改造提升高标准农田面积</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万亩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建立高标准农田（含垦造水田）长效管护机制</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可持续影响</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是/否</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耕地污染防治（受污染耕地安全利用和种植结构调整）</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受污染耕地实现安全利用面积</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98292.74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重度污染耕地种植结构调整或退耕还林面积</w:t>
            </w:r>
          </w:p>
        </w:tc>
        <w:tc>
          <w:tcPr>
            <w:tcW w:w="13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18402.27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强化动物疫病防控</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强制免疫病种应免畜禽的免疫密度</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质量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平均免疫抗体合格率</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质量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动物强制扑杀补助经费发放完成率</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质量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重大动物疫情依法处置率</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质量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不发生大规模随意抛弃病死猪事件</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社会效益</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是/否</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生猪产能调控</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规模猪场（户）保有量</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户</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能繁母猪保有量</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万头</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第三次全国土壤普查</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外业调查采样工作任务完成率</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外业调查采样质量控制任务完成率</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内业样品检测工作任务完成率</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内业样品检测质量控制任务完成率</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农村生活污水治理</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当年度新增完成农村生活污水治理的自然村数量</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个</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农村生活污水治理率</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质量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建立农村生活污水的长效运行管护机制</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可持续影响</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是/否</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河湖管护</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完成河湖管护长度</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公里</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病险水库除险加固</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当年新增完成大中型病险水库除险加固座数</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宗</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当年新增完成小型病险水库除险加固座数</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座</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水土保持</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新增治理水土流失面积</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平方公里</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农业水价综合改革及大中型灌区节水改造</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当年度新增农业水价综合改革实施面积</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万亩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完成年度投资计划的重点中型灌区节水配套项目数量</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宗</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造林及抚育</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一、森林质量精准提升面积</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15225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（一）人工造林面积</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（二）低质低效林分改造面积</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5710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 xml:space="preserve">        其中：新造油茶面积</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（三）封山育林</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（四）森林抚育面积</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4400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 xml:space="preserve">       其中：油茶低改及抚育面积</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（五）新造林抚育面积</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2855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自然保护地整合优化</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自然保护地范围边界矢量化数据制作工作量完成率</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质量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自然保护区总体规划、综合科学考察工作量完成率</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质量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自然公园总体规划和综合科学考察工作量完成率</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质量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森林灾害防控</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林业有害生物防治作业面积（万亩）</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万亩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3.8027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 xml:space="preserve">  其中：松材线虫病防治作业面积</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万亩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3.8027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林业有害生物成灾率</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质量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20.27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森林火灾受害率</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质量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永久基本农田</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永久基本农田保护面积</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142330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通过上级政府的耕地保护责任目标考核</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社会效益</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是/否</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永久基本农田可持续利用性</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社会效益</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是/否</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农村公路养护</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农村公路养护公里数</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公里</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1511.094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农村公路新改建里程</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公里</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农村公路危桥改造座数</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公里</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村内道路建设</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当年度新增完成村内道路基本硬底化的自然村数量</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个</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当年度实施农村集中供水提质增效工程数</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宗</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森林保险省级财政补贴</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当年度森林承保面积</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万亩</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127.5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巩固拓展脱贫攻坚成果同乡村振兴有效衔接</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落实三类防止返贫监测对象监测和帮扶工作</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户</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落实三类防止返贫监测对象监测和帮扶工作</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人</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守好不发生规模性返贫底线</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质量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提升乡村产业发展水平</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每镇培育发展提升1个带动100户以上农户的产业</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个</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r>
              <w:rPr>
                <w:rStyle w:val="30"/>
                <w:rFonts w:hint="eastAsia" w:ascii="仿宋_GB2312" w:hAnsi="仿宋_GB2312" w:eastAsia="仿宋_GB2312" w:cs="仿宋_GB2312"/>
                <w:sz w:val="21"/>
                <w:szCs w:val="21"/>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县域内扶贫项目资产后续管理覆盖率</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质量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每镇县域内扶贫项目资产后续管理财政资金投入</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成本</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万元</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r>
              <w:rPr>
                <w:rStyle w:val="30"/>
                <w:rFonts w:hint="eastAsia" w:ascii="仿宋_GB2312" w:hAnsi="仿宋_GB2312" w:eastAsia="仿宋_GB2312" w:cs="仿宋_GB2312"/>
                <w:sz w:val="21"/>
                <w:szCs w:val="21"/>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当地集体经济发展</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经济效益</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是/否</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当地群众收入</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经济效益</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是/否</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提升镇村公共基础设施水平</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新建污水管网</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公里</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镇级生活污水处理设施稳定运行率</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质量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r>
              <w:rPr>
                <w:rStyle w:val="30"/>
                <w:rFonts w:hint="eastAsia" w:ascii="仿宋_GB2312" w:hAnsi="仿宋_GB2312" w:eastAsia="仿宋_GB2312" w:cs="仿宋_GB2312"/>
                <w:sz w:val="21"/>
                <w:szCs w:val="21"/>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农村人居环境水平</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社会效益</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是/否</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提升公共服务能力水平</w:t>
            </w: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新增完成自然村农村生活污水治理</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个</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完成自然村农村生活污水整改任务</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个</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完成4种常见肿瘤普筛</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万人次</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新增基层医疗卫生机构特色科室建设</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数量</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个</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县域医共体检查检验互认资源</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社会效益</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是/否</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有所覆盖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乡镇（街道）、行政村（社区）新时代文明实践所（站）</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社会效益</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是/否</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提档升级、提质扩面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6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1"/>
                <w:szCs w:val="21"/>
                <w:u w:val="none"/>
              </w:rPr>
            </w:pPr>
          </w:p>
        </w:tc>
        <w:tc>
          <w:tcPr>
            <w:tcW w:w="3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群众对镇域公共服务发展的满意度</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满意度</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90%</w:t>
            </w:r>
          </w:p>
        </w:tc>
      </w:tr>
    </w:tbl>
    <w:p>
      <w:pPr>
        <w:rPr>
          <w:b/>
          <w:bCs/>
          <w:sz w:val="32"/>
          <w:szCs w:val="32"/>
        </w:rPr>
      </w:pPr>
    </w:p>
    <w:p>
      <w:pPr>
        <w:spacing w:line="360" w:lineRule="auto"/>
        <w:ind w:firstLine="640" w:firstLineChars="200"/>
        <w:outlineLvl w:val="0"/>
        <w:rPr>
          <w:rFonts w:ascii="黑体" w:hAnsi="黑体" w:eastAsia="黑体"/>
          <w:sz w:val="32"/>
          <w:szCs w:val="32"/>
        </w:rPr>
      </w:pPr>
      <w:bookmarkStart w:id="17" w:name="_Toc96960255"/>
      <w:r>
        <w:rPr>
          <w:rFonts w:hint="eastAsia" w:ascii="黑体" w:hAnsi="黑体" w:eastAsia="黑体"/>
          <w:sz w:val="32"/>
          <w:szCs w:val="32"/>
          <w:lang w:val="en-US" w:eastAsia="zh-CN"/>
        </w:rPr>
        <w:t>二</w:t>
      </w:r>
      <w:r>
        <w:rPr>
          <w:rFonts w:hint="eastAsia" w:ascii="黑体" w:hAnsi="黑体" w:eastAsia="黑体"/>
          <w:sz w:val="32"/>
          <w:szCs w:val="32"/>
        </w:rPr>
        <w:t>、</w:t>
      </w:r>
      <w:r>
        <w:rPr>
          <w:rFonts w:hint="eastAsia" w:ascii="黑体" w:hAnsi="黑体" w:eastAsia="黑体"/>
          <w:sz w:val="32"/>
          <w:szCs w:val="32"/>
          <w:lang w:val="en-US" w:eastAsia="zh-CN"/>
        </w:rPr>
        <w:t>评价结论</w:t>
      </w:r>
    </w:p>
    <w:p>
      <w:pPr>
        <w:widowControl/>
        <w:ind w:firstLine="640" w:firstLineChars="200"/>
        <w:rPr>
          <w:rFonts w:hint="eastAsia" w:eastAsia="仿宋_GB2312"/>
          <w:kern w:val="2"/>
          <w:sz w:val="32"/>
          <w:lang w:eastAsia="zh-CN"/>
        </w:rPr>
      </w:pPr>
      <w:r>
        <w:rPr>
          <w:rFonts w:hint="eastAsia" w:eastAsia="仿宋_GB2312"/>
          <w:kern w:val="2"/>
          <w:sz w:val="32"/>
          <w:lang w:val="en-US" w:eastAsia="zh-CN"/>
        </w:rPr>
        <w:t>我所评价工作组</w:t>
      </w:r>
      <w:r>
        <w:rPr>
          <w:rFonts w:hint="eastAsia" w:ascii="仿宋_GB2312" w:eastAsia="仿宋_GB2312"/>
          <w:kern w:val="2"/>
          <w:sz w:val="32"/>
          <w:lang w:val="en-US" w:eastAsia="zh-CN"/>
        </w:rPr>
        <w:t>在</w:t>
      </w:r>
      <w:r>
        <w:rPr>
          <w:rFonts w:hint="eastAsia" w:eastAsia="仿宋_GB2312"/>
          <w:kern w:val="2"/>
          <w:sz w:val="32"/>
        </w:rPr>
        <w:t>本次绩效评价</w:t>
      </w:r>
      <w:r>
        <w:rPr>
          <w:rFonts w:hint="eastAsia" w:eastAsia="仿宋_GB2312"/>
          <w:kern w:val="2"/>
          <w:sz w:val="32"/>
          <w:lang w:val="en-US" w:eastAsia="zh-CN"/>
        </w:rPr>
        <w:t>中，</w:t>
      </w:r>
      <w:r>
        <w:rPr>
          <w:rFonts w:hint="eastAsia" w:ascii="仿宋_GB2312" w:eastAsia="仿宋_GB2312"/>
          <w:kern w:val="2"/>
          <w:sz w:val="32"/>
        </w:rPr>
        <w:t>制定了</w:t>
      </w:r>
      <w:r>
        <w:rPr>
          <w:rFonts w:hint="eastAsia" w:ascii="仿宋_GB2312" w:eastAsia="仿宋_GB2312"/>
          <w:kern w:val="2"/>
          <w:sz w:val="32"/>
          <w:lang w:eastAsia="zh-CN"/>
        </w:rPr>
        <w:t>《</w:t>
      </w:r>
      <w:r>
        <w:rPr>
          <w:rFonts w:hint="eastAsia" w:ascii="仿宋_GB2312" w:eastAsia="仿宋_GB2312"/>
          <w:kern w:val="2"/>
          <w:sz w:val="32"/>
          <w:lang w:val="en-US" w:eastAsia="zh-CN"/>
        </w:rPr>
        <w:t>韶关市曲江区</w:t>
      </w:r>
      <w:r>
        <w:rPr>
          <w:rFonts w:hint="eastAsia" w:eastAsia="仿宋_GB2312"/>
          <w:kern w:val="2"/>
          <w:sz w:val="32"/>
          <w:lang w:eastAsia="zh-CN"/>
        </w:rPr>
        <w:t>2023</w:t>
      </w:r>
      <w:r>
        <w:rPr>
          <w:rFonts w:hint="eastAsia" w:eastAsia="仿宋_GB2312"/>
          <w:kern w:val="2"/>
          <w:sz w:val="32"/>
        </w:rPr>
        <w:t>年度省级涉农统筹整合转移支付资金</w:t>
      </w:r>
      <w:r>
        <w:rPr>
          <w:rFonts w:hint="eastAsia" w:ascii="仿宋_GB2312" w:eastAsia="仿宋_GB2312"/>
          <w:kern w:val="2"/>
          <w:sz w:val="32"/>
          <w:lang w:eastAsia="zh-CN"/>
        </w:rPr>
        <w:t>绩效评价指标表》</w:t>
      </w:r>
      <w:r>
        <w:rPr>
          <w:rFonts w:hint="eastAsia" w:ascii="仿宋_GB2312" w:eastAsia="仿宋_GB2312"/>
          <w:kern w:val="2"/>
          <w:sz w:val="32"/>
        </w:rPr>
        <w:t>（详见附件</w:t>
      </w:r>
      <w:r>
        <w:rPr>
          <w:rFonts w:hint="eastAsia" w:ascii="仿宋_GB2312" w:eastAsia="仿宋_GB2312"/>
          <w:kern w:val="2"/>
          <w:sz w:val="32"/>
          <w:lang w:val="en-US" w:eastAsia="zh-CN"/>
        </w:rPr>
        <w:t>2</w:t>
      </w:r>
      <w:r>
        <w:rPr>
          <w:rFonts w:hint="eastAsia" w:ascii="仿宋_GB2312" w:eastAsia="仿宋_GB2312"/>
          <w:kern w:val="2"/>
          <w:sz w:val="32"/>
        </w:rPr>
        <w:t>）</w:t>
      </w:r>
      <w:r>
        <w:rPr>
          <w:rFonts w:hint="eastAsia" w:ascii="仿宋_GB2312" w:eastAsia="仿宋_GB2312"/>
          <w:kern w:val="2"/>
          <w:sz w:val="32"/>
          <w:lang w:eastAsia="zh-CN"/>
        </w:rPr>
        <w:t>，对2023</w:t>
      </w:r>
      <w:r>
        <w:rPr>
          <w:rFonts w:hint="eastAsia" w:eastAsia="仿宋_GB2312"/>
          <w:kern w:val="2"/>
          <w:sz w:val="32"/>
        </w:rPr>
        <w:t>年</w:t>
      </w:r>
      <w:r>
        <w:rPr>
          <w:rFonts w:hint="eastAsia" w:eastAsia="仿宋_GB2312"/>
          <w:kern w:val="2"/>
          <w:sz w:val="32"/>
          <w:lang w:val="en-US" w:eastAsia="zh-CN"/>
        </w:rPr>
        <w:t>曲江区</w:t>
      </w:r>
      <w:r>
        <w:rPr>
          <w:rFonts w:hint="eastAsia" w:eastAsia="仿宋_GB2312"/>
          <w:kern w:val="2"/>
          <w:sz w:val="32"/>
        </w:rPr>
        <w:t>省级涉农统筹整合转移支付</w:t>
      </w:r>
      <w:r>
        <w:rPr>
          <w:rFonts w:hint="eastAsia" w:ascii="仿宋_GB2312" w:eastAsia="仿宋_GB2312"/>
          <w:kern w:val="2"/>
          <w:sz w:val="32"/>
          <w:lang w:eastAsia="zh-CN"/>
        </w:rPr>
        <w:t>资金的决策、</w:t>
      </w:r>
      <w:r>
        <w:rPr>
          <w:rFonts w:hint="eastAsia" w:ascii="仿宋_GB2312" w:eastAsia="仿宋_GB2312"/>
          <w:kern w:val="2"/>
          <w:sz w:val="32"/>
          <w:lang w:val="en-US" w:eastAsia="zh-CN"/>
        </w:rPr>
        <w:t>管理</w:t>
      </w:r>
      <w:r>
        <w:rPr>
          <w:rFonts w:hint="eastAsia" w:ascii="仿宋_GB2312" w:eastAsia="仿宋_GB2312"/>
          <w:kern w:val="2"/>
          <w:sz w:val="32"/>
          <w:lang w:eastAsia="zh-CN"/>
        </w:rPr>
        <w:t>、产出、效益等四个方面进行综合评价。</w:t>
      </w:r>
      <w:r>
        <w:rPr>
          <w:rFonts w:hint="eastAsia" w:eastAsia="仿宋_GB2312"/>
          <w:kern w:val="2"/>
          <w:sz w:val="32"/>
        </w:rPr>
        <w:t>通过分析各</w:t>
      </w:r>
      <w:r>
        <w:rPr>
          <w:rFonts w:hint="eastAsia" w:eastAsia="仿宋_GB2312"/>
          <w:kern w:val="2"/>
          <w:sz w:val="32"/>
          <w:lang w:val="en-US" w:eastAsia="zh-CN"/>
        </w:rPr>
        <w:t>涉农</w:t>
      </w:r>
      <w:r>
        <w:rPr>
          <w:rFonts w:hint="eastAsia" w:eastAsia="仿宋_GB2312"/>
          <w:kern w:val="2"/>
          <w:sz w:val="32"/>
        </w:rPr>
        <w:t>单位提供的</w:t>
      </w:r>
      <w:r>
        <w:rPr>
          <w:rFonts w:hint="eastAsia" w:eastAsia="仿宋_GB2312"/>
          <w:kern w:val="2"/>
          <w:sz w:val="32"/>
          <w:lang w:val="en-US" w:eastAsia="zh-CN"/>
        </w:rPr>
        <w:t>项目</w:t>
      </w:r>
      <w:r>
        <w:rPr>
          <w:rFonts w:hint="eastAsia" w:eastAsia="仿宋_GB2312"/>
          <w:kern w:val="2"/>
          <w:sz w:val="32"/>
        </w:rPr>
        <w:t>材料，结合现场评价的</w:t>
      </w:r>
      <w:r>
        <w:rPr>
          <w:rFonts w:hint="eastAsia" w:eastAsia="仿宋_GB2312"/>
          <w:kern w:val="2"/>
          <w:sz w:val="32"/>
          <w:lang w:val="en-US" w:eastAsia="zh-CN"/>
        </w:rPr>
        <w:t>实际</w:t>
      </w:r>
      <w:r>
        <w:rPr>
          <w:rFonts w:hint="eastAsia" w:eastAsia="仿宋_GB2312"/>
          <w:kern w:val="2"/>
          <w:sz w:val="32"/>
        </w:rPr>
        <w:t>情况，</w:t>
      </w:r>
      <w:r>
        <w:rPr>
          <w:rFonts w:hint="eastAsia" w:eastAsia="仿宋_GB2312"/>
          <w:kern w:val="2"/>
          <w:sz w:val="32"/>
          <w:lang w:val="en-US" w:eastAsia="zh-CN"/>
        </w:rPr>
        <w:t>我所评价工作组</w:t>
      </w:r>
      <w:r>
        <w:rPr>
          <w:rFonts w:hint="eastAsia" w:eastAsia="仿宋_GB2312"/>
          <w:kern w:val="2"/>
          <w:sz w:val="32"/>
        </w:rPr>
        <w:t>综合评</w:t>
      </w:r>
      <w:r>
        <w:rPr>
          <w:rFonts w:hint="eastAsia" w:ascii="仿宋_GB2312" w:eastAsia="仿宋_GB2312"/>
          <w:kern w:val="2"/>
          <w:sz w:val="32"/>
        </w:rPr>
        <w:t>定</w:t>
      </w:r>
      <w:r>
        <w:rPr>
          <w:rFonts w:hint="eastAsia" w:ascii="仿宋_GB2312" w:eastAsia="仿宋_GB2312"/>
          <w:kern w:val="2"/>
          <w:sz w:val="32"/>
          <w:lang w:eastAsia="zh-CN"/>
        </w:rPr>
        <w:t>2023</w:t>
      </w:r>
      <w:r>
        <w:rPr>
          <w:rFonts w:hint="eastAsia" w:eastAsia="仿宋_GB2312"/>
          <w:kern w:val="2"/>
          <w:sz w:val="32"/>
        </w:rPr>
        <w:t>年</w:t>
      </w:r>
      <w:r>
        <w:rPr>
          <w:rFonts w:hint="eastAsia" w:eastAsia="仿宋_GB2312"/>
          <w:kern w:val="2"/>
          <w:sz w:val="32"/>
          <w:lang w:val="en-US" w:eastAsia="zh-CN"/>
        </w:rPr>
        <w:t>曲江区</w:t>
      </w:r>
      <w:r>
        <w:rPr>
          <w:rFonts w:hint="eastAsia" w:eastAsia="仿宋_GB2312"/>
          <w:kern w:val="2"/>
          <w:sz w:val="32"/>
        </w:rPr>
        <w:t>省级涉农统筹整合转移支付资金的绩效得分</w:t>
      </w:r>
      <w:r>
        <w:rPr>
          <w:rFonts w:hint="eastAsia" w:eastAsia="仿宋_GB2312"/>
          <w:kern w:val="2"/>
          <w:sz w:val="32"/>
          <w:highlight w:val="none"/>
        </w:rPr>
        <w:t>为</w:t>
      </w:r>
      <w:r>
        <w:rPr>
          <w:rFonts w:hint="eastAsia" w:ascii="仿宋_GB2312" w:eastAsia="仿宋_GB2312"/>
          <w:b/>
          <w:kern w:val="2"/>
          <w:sz w:val="32"/>
          <w:highlight w:val="none"/>
          <w:lang w:val="en-US" w:eastAsia="zh-CN"/>
        </w:rPr>
        <w:t>95.57</w:t>
      </w:r>
      <w:r>
        <w:rPr>
          <w:rFonts w:hint="eastAsia" w:eastAsia="仿宋_GB2312"/>
          <w:kern w:val="2"/>
          <w:sz w:val="32"/>
          <w:highlight w:val="none"/>
        </w:rPr>
        <w:t>分</w:t>
      </w:r>
      <w:r>
        <w:rPr>
          <w:rFonts w:hint="eastAsia" w:eastAsia="仿宋_GB2312"/>
          <w:kern w:val="2"/>
          <w:sz w:val="32"/>
        </w:rPr>
        <w:t>，绩效等级为“</w:t>
      </w:r>
      <w:r>
        <w:rPr>
          <w:rFonts w:hint="eastAsia" w:eastAsia="仿宋_GB2312"/>
          <w:b/>
          <w:bCs/>
          <w:kern w:val="2"/>
          <w:sz w:val="32"/>
        </w:rPr>
        <w:t>优</w:t>
      </w:r>
      <w:r>
        <w:rPr>
          <w:rFonts w:hint="eastAsia" w:eastAsia="仿宋_GB2312"/>
          <w:kern w:val="2"/>
          <w:sz w:val="32"/>
        </w:rPr>
        <w:t>”</w:t>
      </w:r>
      <w:r>
        <w:rPr>
          <w:rFonts w:hint="eastAsia" w:eastAsia="仿宋_GB2312"/>
          <w:kern w:val="2"/>
          <w:sz w:val="32"/>
          <w:lang w:eastAsia="zh-CN"/>
        </w:rPr>
        <w:t>，</w:t>
      </w:r>
      <w:r>
        <w:rPr>
          <w:rFonts w:hint="eastAsia" w:eastAsia="仿宋_GB2312"/>
          <w:kern w:val="2"/>
          <w:sz w:val="32"/>
          <w:lang w:val="en-US" w:eastAsia="zh-CN"/>
        </w:rPr>
        <w:t>评价得分总体情况见表2-1：</w:t>
      </w:r>
    </w:p>
    <w:p>
      <w:pPr>
        <w:spacing w:line="360" w:lineRule="auto"/>
        <w:jc w:val="center"/>
        <w:outlineLvl w:val="0"/>
        <w:rPr>
          <w:rFonts w:hint="eastAsia" w:ascii="黑体" w:hAnsi="黑体" w:eastAsia="黑体"/>
          <w:sz w:val="32"/>
          <w:szCs w:val="32"/>
          <w:lang w:val="en-US" w:eastAsia="zh-CN"/>
        </w:rPr>
      </w:pPr>
      <w:r>
        <w:rPr>
          <w:rFonts w:ascii="黑体" w:hAnsi="黑体" w:eastAsia="黑体"/>
          <w:kern w:val="2"/>
          <w:sz w:val="28"/>
          <w:szCs w:val="28"/>
        </w:rPr>
        <w:t>表</w:t>
      </w:r>
      <w:r>
        <w:rPr>
          <w:rFonts w:hint="eastAsia" w:ascii="黑体" w:hAnsi="黑体" w:eastAsia="黑体"/>
          <w:kern w:val="2"/>
          <w:sz w:val="28"/>
          <w:szCs w:val="28"/>
          <w:lang w:val="en-US" w:eastAsia="zh-CN"/>
        </w:rPr>
        <w:t>2-1</w:t>
      </w:r>
      <w:r>
        <w:rPr>
          <w:rFonts w:hint="eastAsia" w:ascii="黑体" w:hAnsi="黑体" w:eastAsia="黑体"/>
          <w:kern w:val="2"/>
          <w:sz w:val="28"/>
          <w:szCs w:val="28"/>
        </w:rPr>
        <w:t xml:space="preserve">   </w:t>
      </w:r>
      <w:r>
        <w:rPr>
          <w:rFonts w:ascii="黑体" w:hAnsi="黑体" w:eastAsia="黑体"/>
          <w:kern w:val="2"/>
          <w:sz w:val="28"/>
          <w:szCs w:val="28"/>
        </w:rPr>
        <w:t>评价</w:t>
      </w:r>
      <w:r>
        <w:rPr>
          <w:rFonts w:hint="eastAsia" w:ascii="黑体" w:hAnsi="黑体" w:eastAsia="黑体"/>
          <w:kern w:val="2"/>
          <w:sz w:val="28"/>
          <w:szCs w:val="28"/>
        </w:rPr>
        <w:t>得分</w:t>
      </w:r>
      <w:r>
        <w:rPr>
          <w:rFonts w:ascii="黑体" w:hAnsi="黑体" w:eastAsia="黑体"/>
          <w:kern w:val="2"/>
          <w:sz w:val="28"/>
          <w:szCs w:val="28"/>
        </w:rPr>
        <w:t>情况总表</w:t>
      </w:r>
    </w:p>
    <w:tbl>
      <w:tblPr>
        <w:tblStyle w:val="12"/>
        <w:tblW w:w="88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1620"/>
        <w:gridCol w:w="1800"/>
        <w:gridCol w:w="2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48" w:type="dxa"/>
            <w:noWrap w:val="0"/>
            <w:vAlign w:val="center"/>
          </w:tcPr>
          <w:p>
            <w:pPr>
              <w:widowControl/>
              <w:spacing w:line="300" w:lineRule="exact"/>
              <w:jc w:val="center"/>
              <w:rPr>
                <w:rFonts w:hint="eastAsia" w:ascii="仿宋_GB2312" w:hAnsi="宋体" w:eastAsia="仿宋_GB2312" w:cs="宋体"/>
                <w:sz w:val="32"/>
                <w:szCs w:val="32"/>
                <w:lang w:eastAsia="zh-CN" w:bidi="ar"/>
              </w:rPr>
            </w:pPr>
            <w:r>
              <w:rPr>
                <w:rFonts w:hint="eastAsia" w:ascii="仿宋_GB2312" w:hAnsi="宋体" w:eastAsia="仿宋_GB2312" w:cs="宋体"/>
                <w:sz w:val="32"/>
                <w:szCs w:val="32"/>
                <w:lang w:bidi="ar"/>
              </w:rPr>
              <w:t>评价</w:t>
            </w:r>
            <w:r>
              <w:rPr>
                <w:rFonts w:hint="eastAsia" w:ascii="仿宋_GB2312" w:hAnsi="宋体" w:eastAsia="仿宋_GB2312" w:cs="宋体"/>
                <w:sz w:val="32"/>
                <w:szCs w:val="32"/>
                <w:lang w:val="en-US" w:eastAsia="zh-CN" w:bidi="ar"/>
              </w:rPr>
              <w:t>板块</w:t>
            </w:r>
          </w:p>
        </w:tc>
        <w:tc>
          <w:tcPr>
            <w:tcW w:w="1620" w:type="dxa"/>
            <w:noWrap w:val="0"/>
            <w:vAlign w:val="center"/>
          </w:tcPr>
          <w:p>
            <w:pPr>
              <w:widowControl/>
              <w:spacing w:line="300" w:lineRule="exact"/>
              <w:jc w:val="center"/>
              <w:rPr>
                <w:rFonts w:ascii="仿宋_GB2312" w:hAnsi="宋体" w:eastAsia="仿宋_GB2312" w:cs="宋体"/>
                <w:sz w:val="32"/>
                <w:szCs w:val="32"/>
                <w:lang w:bidi="ar"/>
              </w:rPr>
            </w:pPr>
            <w:r>
              <w:rPr>
                <w:rFonts w:hint="eastAsia" w:ascii="仿宋_GB2312" w:hAnsi="宋体" w:eastAsia="仿宋_GB2312" w:cs="宋体"/>
                <w:sz w:val="32"/>
                <w:szCs w:val="32"/>
                <w:lang w:bidi="ar"/>
              </w:rPr>
              <w:t>分值</w:t>
            </w:r>
          </w:p>
        </w:tc>
        <w:tc>
          <w:tcPr>
            <w:tcW w:w="1800" w:type="dxa"/>
            <w:noWrap w:val="0"/>
            <w:vAlign w:val="center"/>
          </w:tcPr>
          <w:p>
            <w:pPr>
              <w:widowControl/>
              <w:spacing w:line="300" w:lineRule="exact"/>
              <w:jc w:val="center"/>
              <w:rPr>
                <w:rFonts w:ascii="仿宋_GB2312" w:hAnsi="宋体" w:eastAsia="仿宋_GB2312" w:cs="宋体"/>
                <w:sz w:val="32"/>
                <w:szCs w:val="32"/>
                <w:lang w:bidi="ar"/>
              </w:rPr>
            </w:pPr>
            <w:r>
              <w:rPr>
                <w:rFonts w:hint="eastAsia" w:ascii="仿宋_GB2312" w:hAnsi="宋体" w:eastAsia="仿宋_GB2312" w:cs="宋体"/>
                <w:sz w:val="32"/>
                <w:szCs w:val="32"/>
                <w:lang w:bidi="ar"/>
              </w:rPr>
              <w:t>评价得分</w:t>
            </w:r>
          </w:p>
        </w:tc>
        <w:tc>
          <w:tcPr>
            <w:tcW w:w="2118" w:type="dxa"/>
            <w:noWrap w:val="0"/>
            <w:vAlign w:val="center"/>
          </w:tcPr>
          <w:p>
            <w:pPr>
              <w:widowControl/>
              <w:spacing w:line="300" w:lineRule="exact"/>
              <w:jc w:val="center"/>
              <w:rPr>
                <w:rFonts w:ascii="仿宋_GB2312" w:hAnsi="宋体" w:eastAsia="仿宋_GB2312" w:cs="宋体"/>
                <w:sz w:val="32"/>
                <w:szCs w:val="32"/>
                <w:lang w:bidi="ar"/>
              </w:rPr>
            </w:pPr>
            <w:r>
              <w:rPr>
                <w:rFonts w:hint="eastAsia" w:ascii="仿宋_GB2312" w:hAnsi="宋体" w:eastAsia="仿宋_GB2312" w:cs="宋体"/>
                <w:sz w:val="32"/>
                <w:szCs w:val="32"/>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48" w:type="dxa"/>
            <w:noWrap w:val="0"/>
            <w:vAlign w:val="center"/>
          </w:tcPr>
          <w:p>
            <w:pPr>
              <w:widowControl/>
              <w:spacing w:line="300" w:lineRule="exact"/>
              <w:jc w:val="center"/>
              <w:rPr>
                <w:rFonts w:hint="eastAsia" w:ascii="仿宋_GB2312" w:hAnsi="宋体" w:eastAsia="仿宋_GB2312" w:cs="宋体"/>
                <w:sz w:val="32"/>
                <w:szCs w:val="32"/>
                <w:lang w:eastAsia="zh-CN" w:bidi="ar"/>
              </w:rPr>
            </w:pPr>
            <w:r>
              <w:rPr>
                <w:rFonts w:hint="eastAsia" w:ascii="仿宋_GB2312" w:hAnsi="宋体" w:eastAsia="仿宋_GB2312" w:cs="宋体"/>
                <w:sz w:val="32"/>
                <w:szCs w:val="32"/>
                <w:lang w:bidi="ar"/>
              </w:rPr>
              <w:t>一、</w:t>
            </w:r>
            <w:r>
              <w:rPr>
                <w:rFonts w:hint="eastAsia" w:ascii="仿宋_GB2312" w:hAnsi="宋体" w:eastAsia="仿宋_GB2312" w:cs="宋体"/>
                <w:sz w:val="32"/>
                <w:szCs w:val="32"/>
                <w:lang w:val="en-US" w:eastAsia="zh-CN" w:bidi="ar"/>
              </w:rPr>
              <w:t>决策</w:t>
            </w:r>
          </w:p>
        </w:tc>
        <w:tc>
          <w:tcPr>
            <w:tcW w:w="1620" w:type="dxa"/>
            <w:noWrap w:val="0"/>
            <w:vAlign w:val="center"/>
          </w:tcPr>
          <w:p>
            <w:pPr>
              <w:widowControl/>
              <w:spacing w:line="300" w:lineRule="exact"/>
              <w:jc w:val="center"/>
              <w:rPr>
                <w:rFonts w:ascii="仿宋_GB2312" w:hAnsi="宋体" w:eastAsia="仿宋_GB2312" w:cs="宋体"/>
                <w:sz w:val="32"/>
                <w:szCs w:val="32"/>
                <w:lang w:bidi="ar"/>
              </w:rPr>
            </w:pPr>
            <w:r>
              <w:rPr>
                <w:rFonts w:hint="eastAsia" w:ascii="仿宋_GB2312" w:hAnsi="宋体" w:eastAsia="仿宋_GB2312" w:cs="宋体"/>
                <w:sz w:val="32"/>
                <w:szCs w:val="32"/>
                <w:lang w:bidi="ar"/>
              </w:rPr>
              <w:t>2</w:t>
            </w:r>
            <w:r>
              <w:rPr>
                <w:rFonts w:hint="eastAsia" w:ascii="仿宋_GB2312" w:hAnsi="宋体" w:cs="宋体"/>
                <w:sz w:val="32"/>
                <w:szCs w:val="32"/>
                <w:lang w:bidi="ar"/>
              </w:rPr>
              <w:t>0</w:t>
            </w:r>
          </w:p>
        </w:tc>
        <w:tc>
          <w:tcPr>
            <w:tcW w:w="1800" w:type="dxa"/>
            <w:noWrap w:val="0"/>
            <w:vAlign w:val="center"/>
          </w:tcPr>
          <w:p>
            <w:pPr>
              <w:widowControl/>
              <w:spacing w:line="300" w:lineRule="exact"/>
              <w:jc w:val="center"/>
              <w:rPr>
                <w:rFonts w:hint="default" w:ascii="仿宋_GB2312" w:hAnsi="宋体" w:eastAsia="仿宋_GB2312" w:cs="宋体"/>
                <w:sz w:val="32"/>
                <w:szCs w:val="32"/>
                <w:lang w:val="en-US" w:eastAsia="zh-CN" w:bidi="ar"/>
              </w:rPr>
            </w:pPr>
            <w:r>
              <w:rPr>
                <w:rFonts w:hint="eastAsia" w:ascii="仿宋_GB2312" w:hAnsi="宋体" w:eastAsia="仿宋_GB2312" w:cs="宋体"/>
                <w:sz w:val="32"/>
                <w:szCs w:val="32"/>
                <w:lang w:val="en-US" w:eastAsia="zh-CN" w:bidi="ar"/>
              </w:rPr>
              <w:t>19</w:t>
            </w:r>
          </w:p>
        </w:tc>
        <w:tc>
          <w:tcPr>
            <w:tcW w:w="2118" w:type="dxa"/>
            <w:noWrap w:val="0"/>
            <w:vAlign w:val="center"/>
          </w:tcPr>
          <w:p>
            <w:pPr>
              <w:widowControl/>
              <w:spacing w:line="300" w:lineRule="exact"/>
              <w:jc w:val="center"/>
              <w:rPr>
                <w:rFonts w:ascii="仿宋_GB2312" w:hAnsi="宋体" w:eastAsia="仿宋_GB2312" w:cs="宋体"/>
                <w:sz w:val="32"/>
                <w:szCs w:val="32"/>
                <w:lang w:bidi="ar"/>
              </w:rPr>
            </w:pPr>
            <w:r>
              <w:rPr>
                <w:rFonts w:hint="eastAsia" w:ascii="仿宋_GB2312" w:hAnsi="宋体" w:eastAsia="仿宋_GB2312" w:cs="宋体"/>
                <w:sz w:val="32"/>
                <w:szCs w:val="32"/>
                <w:lang w:val="en-US" w:eastAsia="zh-CN" w:bidi="ar"/>
              </w:rPr>
              <w:t>95.00</w:t>
            </w:r>
            <w:r>
              <w:rPr>
                <w:rFonts w:hint="eastAsia" w:ascii="仿宋_GB2312" w:hAnsi="宋体" w:eastAsia="仿宋_GB2312" w:cs="宋体"/>
                <w:sz w:val="32"/>
                <w:szCs w:val="32"/>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48" w:type="dxa"/>
            <w:noWrap w:val="0"/>
            <w:vAlign w:val="center"/>
          </w:tcPr>
          <w:p>
            <w:pPr>
              <w:widowControl/>
              <w:spacing w:line="300" w:lineRule="exact"/>
              <w:jc w:val="center"/>
              <w:rPr>
                <w:rFonts w:hint="eastAsia" w:ascii="仿宋_GB2312" w:hAnsi="宋体" w:eastAsia="仿宋_GB2312" w:cs="宋体"/>
                <w:sz w:val="32"/>
                <w:szCs w:val="32"/>
                <w:lang w:eastAsia="zh-CN" w:bidi="ar"/>
              </w:rPr>
            </w:pPr>
            <w:r>
              <w:rPr>
                <w:rFonts w:hint="eastAsia" w:ascii="仿宋_GB2312" w:hAnsi="宋体" w:eastAsia="仿宋_GB2312" w:cs="宋体"/>
                <w:sz w:val="32"/>
                <w:szCs w:val="32"/>
                <w:lang w:bidi="ar"/>
              </w:rPr>
              <w:t>二、</w:t>
            </w:r>
            <w:r>
              <w:rPr>
                <w:rFonts w:hint="eastAsia" w:ascii="仿宋_GB2312" w:hAnsi="宋体" w:eastAsia="仿宋_GB2312" w:cs="宋体"/>
                <w:sz w:val="32"/>
                <w:szCs w:val="32"/>
                <w:lang w:val="en-US" w:eastAsia="zh-CN" w:bidi="ar"/>
              </w:rPr>
              <w:t>管理</w:t>
            </w:r>
          </w:p>
        </w:tc>
        <w:tc>
          <w:tcPr>
            <w:tcW w:w="1620" w:type="dxa"/>
            <w:noWrap w:val="0"/>
            <w:vAlign w:val="center"/>
          </w:tcPr>
          <w:p>
            <w:pPr>
              <w:widowControl/>
              <w:spacing w:line="300" w:lineRule="exact"/>
              <w:jc w:val="center"/>
              <w:rPr>
                <w:rFonts w:ascii="仿宋_GB2312" w:hAnsi="宋体" w:eastAsia="仿宋_GB2312" w:cs="宋体"/>
                <w:sz w:val="32"/>
                <w:szCs w:val="32"/>
                <w:lang w:bidi="ar"/>
              </w:rPr>
            </w:pPr>
            <w:r>
              <w:rPr>
                <w:rFonts w:hint="eastAsia" w:ascii="仿宋_GB2312" w:hAnsi="宋体" w:cs="宋体"/>
                <w:sz w:val="32"/>
                <w:szCs w:val="32"/>
                <w:lang w:bidi="ar"/>
              </w:rPr>
              <w:t>20</w:t>
            </w:r>
          </w:p>
        </w:tc>
        <w:tc>
          <w:tcPr>
            <w:tcW w:w="1800" w:type="dxa"/>
            <w:noWrap w:val="0"/>
            <w:vAlign w:val="center"/>
          </w:tcPr>
          <w:p>
            <w:pPr>
              <w:widowControl/>
              <w:spacing w:line="300" w:lineRule="exact"/>
              <w:jc w:val="center"/>
              <w:rPr>
                <w:rFonts w:hint="default" w:ascii="仿宋_GB2312" w:hAnsi="宋体" w:eastAsia="仿宋_GB2312" w:cs="宋体"/>
                <w:sz w:val="32"/>
                <w:szCs w:val="32"/>
                <w:lang w:val="en-US" w:eastAsia="zh-CN" w:bidi="ar"/>
              </w:rPr>
            </w:pPr>
            <w:r>
              <w:rPr>
                <w:rFonts w:hint="eastAsia" w:ascii="仿宋_GB2312" w:hAnsi="宋体" w:eastAsia="仿宋_GB2312" w:cs="宋体"/>
                <w:sz w:val="32"/>
                <w:szCs w:val="32"/>
                <w:lang w:val="en-US" w:eastAsia="zh-CN" w:bidi="ar"/>
              </w:rPr>
              <w:t>17</w:t>
            </w:r>
          </w:p>
        </w:tc>
        <w:tc>
          <w:tcPr>
            <w:tcW w:w="2118" w:type="dxa"/>
            <w:noWrap w:val="0"/>
            <w:vAlign w:val="center"/>
          </w:tcPr>
          <w:p>
            <w:pPr>
              <w:widowControl/>
              <w:spacing w:line="300" w:lineRule="exact"/>
              <w:jc w:val="center"/>
              <w:rPr>
                <w:rFonts w:ascii="仿宋_GB2312" w:hAnsi="宋体" w:eastAsia="仿宋_GB2312" w:cs="宋体"/>
                <w:sz w:val="32"/>
                <w:szCs w:val="32"/>
                <w:lang w:bidi="ar"/>
              </w:rPr>
            </w:pPr>
            <w:r>
              <w:rPr>
                <w:rFonts w:hint="eastAsia" w:ascii="仿宋_GB2312" w:hAnsi="宋体" w:eastAsia="仿宋_GB2312" w:cs="宋体"/>
                <w:sz w:val="32"/>
                <w:szCs w:val="32"/>
                <w:lang w:val="en-US" w:eastAsia="zh-CN" w:bidi="ar"/>
              </w:rPr>
              <w:t>85.00</w:t>
            </w:r>
            <w:r>
              <w:rPr>
                <w:rFonts w:hint="eastAsia" w:ascii="仿宋_GB2312" w:hAnsi="宋体" w:eastAsia="仿宋_GB2312" w:cs="宋体"/>
                <w:sz w:val="32"/>
                <w:szCs w:val="32"/>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48" w:type="dxa"/>
            <w:noWrap w:val="0"/>
            <w:vAlign w:val="center"/>
          </w:tcPr>
          <w:p>
            <w:pPr>
              <w:widowControl/>
              <w:spacing w:line="300" w:lineRule="exact"/>
              <w:jc w:val="center"/>
              <w:rPr>
                <w:rFonts w:ascii="仿宋_GB2312" w:hAnsi="宋体" w:eastAsia="仿宋_GB2312" w:cs="宋体"/>
                <w:sz w:val="32"/>
                <w:szCs w:val="32"/>
                <w:lang w:bidi="ar"/>
              </w:rPr>
            </w:pPr>
            <w:r>
              <w:rPr>
                <w:rFonts w:hint="eastAsia" w:ascii="仿宋_GB2312" w:hAnsi="宋体" w:eastAsia="仿宋_GB2312" w:cs="宋体"/>
                <w:sz w:val="32"/>
                <w:szCs w:val="32"/>
                <w:lang w:bidi="ar"/>
              </w:rPr>
              <w:t>三、产出</w:t>
            </w:r>
          </w:p>
        </w:tc>
        <w:tc>
          <w:tcPr>
            <w:tcW w:w="1620" w:type="dxa"/>
            <w:noWrap w:val="0"/>
            <w:vAlign w:val="center"/>
          </w:tcPr>
          <w:p>
            <w:pPr>
              <w:widowControl/>
              <w:spacing w:line="300" w:lineRule="exact"/>
              <w:jc w:val="center"/>
              <w:rPr>
                <w:rFonts w:ascii="仿宋_GB2312" w:hAnsi="宋体" w:eastAsia="仿宋_GB2312" w:cs="宋体"/>
                <w:sz w:val="32"/>
                <w:szCs w:val="32"/>
                <w:lang w:bidi="ar"/>
              </w:rPr>
            </w:pPr>
            <w:r>
              <w:rPr>
                <w:rFonts w:hint="eastAsia" w:ascii="仿宋_GB2312" w:hAnsi="宋体" w:cs="宋体"/>
                <w:sz w:val="32"/>
                <w:szCs w:val="32"/>
                <w:lang w:bidi="ar"/>
              </w:rPr>
              <w:t>3</w:t>
            </w:r>
            <w:r>
              <w:rPr>
                <w:rFonts w:hint="eastAsia" w:ascii="仿宋_GB2312" w:hAnsi="宋体" w:eastAsia="仿宋_GB2312" w:cs="宋体"/>
                <w:sz w:val="32"/>
                <w:szCs w:val="32"/>
                <w:lang w:bidi="ar"/>
              </w:rPr>
              <w:t>0</w:t>
            </w:r>
          </w:p>
        </w:tc>
        <w:tc>
          <w:tcPr>
            <w:tcW w:w="1800" w:type="dxa"/>
            <w:noWrap w:val="0"/>
            <w:vAlign w:val="center"/>
          </w:tcPr>
          <w:p>
            <w:pPr>
              <w:widowControl/>
              <w:spacing w:line="300" w:lineRule="exact"/>
              <w:jc w:val="center"/>
              <w:rPr>
                <w:rFonts w:hint="default" w:ascii="仿宋_GB2312" w:hAnsi="宋体" w:eastAsia="仿宋_GB2312" w:cs="宋体"/>
                <w:sz w:val="32"/>
                <w:szCs w:val="32"/>
                <w:lang w:val="en-US" w:eastAsia="zh-CN" w:bidi="ar"/>
              </w:rPr>
            </w:pPr>
            <w:r>
              <w:rPr>
                <w:rFonts w:hint="eastAsia" w:ascii="仿宋_GB2312" w:hAnsi="宋体" w:eastAsia="仿宋_GB2312" w:cs="宋体"/>
                <w:sz w:val="32"/>
                <w:szCs w:val="32"/>
                <w:lang w:val="en-US" w:eastAsia="zh-CN" w:bidi="ar"/>
              </w:rPr>
              <w:t>29.57</w:t>
            </w:r>
          </w:p>
        </w:tc>
        <w:tc>
          <w:tcPr>
            <w:tcW w:w="2118" w:type="dxa"/>
            <w:noWrap w:val="0"/>
            <w:vAlign w:val="center"/>
          </w:tcPr>
          <w:p>
            <w:pPr>
              <w:widowControl/>
              <w:spacing w:line="300" w:lineRule="exact"/>
              <w:jc w:val="center"/>
              <w:rPr>
                <w:rFonts w:ascii="仿宋_GB2312" w:hAnsi="宋体" w:eastAsia="仿宋_GB2312" w:cs="宋体"/>
                <w:sz w:val="32"/>
                <w:szCs w:val="32"/>
                <w:lang w:bidi="ar"/>
              </w:rPr>
            </w:pPr>
            <w:r>
              <w:rPr>
                <w:rFonts w:hint="eastAsia" w:ascii="仿宋_GB2312" w:hAnsi="宋体" w:eastAsia="仿宋_GB2312" w:cs="宋体"/>
                <w:sz w:val="32"/>
                <w:szCs w:val="32"/>
                <w:lang w:val="en-US" w:eastAsia="zh-CN" w:bidi="ar"/>
              </w:rPr>
              <w:t>98.57</w:t>
            </w:r>
            <w:r>
              <w:rPr>
                <w:rFonts w:hint="eastAsia" w:ascii="仿宋_GB2312" w:hAnsi="宋体" w:eastAsia="仿宋_GB2312" w:cs="宋体"/>
                <w:sz w:val="32"/>
                <w:szCs w:val="32"/>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48" w:type="dxa"/>
            <w:noWrap w:val="0"/>
            <w:vAlign w:val="center"/>
          </w:tcPr>
          <w:p>
            <w:pPr>
              <w:widowControl/>
              <w:spacing w:line="300" w:lineRule="exact"/>
              <w:jc w:val="center"/>
              <w:rPr>
                <w:rFonts w:ascii="仿宋_GB2312" w:hAnsi="宋体" w:eastAsia="仿宋_GB2312" w:cs="宋体"/>
                <w:sz w:val="32"/>
                <w:szCs w:val="32"/>
                <w:lang w:bidi="ar"/>
              </w:rPr>
            </w:pPr>
            <w:r>
              <w:rPr>
                <w:rFonts w:hint="eastAsia" w:ascii="仿宋_GB2312" w:hAnsi="宋体" w:eastAsia="仿宋_GB2312" w:cs="宋体"/>
                <w:sz w:val="32"/>
                <w:szCs w:val="32"/>
                <w:lang w:bidi="ar"/>
              </w:rPr>
              <w:t>四、效益</w:t>
            </w:r>
          </w:p>
        </w:tc>
        <w:tc>
          <w:tcPr>
            <w:tcW w:w="1620" w:type="dxa"/>
            <w:noWrap w:val="0"/>
            <w:vAlign w:val="center"/>
          </w:tcPr>
          <w:p>
            <w:pPr>
              <w:widowControl/>
              <w:spacing w:line="300" w:lineRule="exact"/>
              <w:jc w:val="center"/>
              <w:rPr>
                <w:rFonts w:ascii="仿宋_GB2312" w:hAnsi="宋体" w:eastAsia="仿宋_GB2312" w:cs="宋体"/>
                <w:sz w:val="32"/>
                <w:szCs w:val="32"/>
                <w:lang w:bidi="ar"/>
              </w:rPr>
            </w:pPr>
            <w:r>
              <w:rPr>
                <w:rFonts w:hint="eastAsia" w:ascii="仿宋_GB2312" w:hAnsi="宋体" w:cs="宋体"/>
                <w:sz w:val="32"/>
                <w:szCs w:val="32"/>
                <w:lang w:bidi="ar"/>
              </w:rPr>
              <w:t>3</w:t>
            </w:r>
            <w:r>
              <w:rPr>
                <w:rFonts w:hint="eastAsia" w:ascii="仿宋_GB2312" w:hAnsi="宋体" w:eastAsia="仿宋_GB2312" w:cs="宋体"/>
                <w:sz w:val="32"/>
                <w:szCs w:val="32"/>
                <w:lang w:bidi="ar"/>
              </w:rPr>
              <w:t>0</w:t>
            </w:r>
          </w:p>
        </w:tc>
        <w:tc>
          <w:tcPr>
            <w:tcW w:w="1800" w:type="dxa"/>
            <w:noWrap w:val="0"/>
            <w:vAlign w:val="center"/>
          </w:tcPr>
          <w:p>
            <w:pPr>
              <w:widowControl/>
              <w:spacing w:line="300" w:lineRule="exact"/>
              <w:jc w:val="center"/>
              <w:rPr>
                <w:rFonts w:ascii="仿宋_GB2312" w:hAnsi="宋体" w:eastAsia="仿宋_GB2312" w:cs="宋体"/>
                <w:sz w:val="32"/>
                <w:szCs w:val="32"/>
                <w:lang w:bidi="ar"/>
              </w:rPr>
            </w:pPr>
            <w:r>
              <w:rPr>
                <w:rFonts w:hint="eastAsia" w:ascii="仿宋_GB2312" w:hAnsi="宋体" w:eastAsia="仿宋_GB2312" w:cs="宋体"/>
                <w:sz w:val="32"/>
                <w:szCs w:val="32"/>
                <w:lang w:bidi="ar"/>
              </w:rPr>
              <w:t>30</w:t>
            </w:r>
          </w:p>
        </w:tc>
        <w:tc>
          <w:tcPr>
            <w:tcW w:w="2118" w:type="dxa"/>
            <w:noWrap w:val="0"/>
            <w:vAlign w:val="center"/>
          </w:tcPr>
          <w:p>
            <w:pPr>
              <w:widowControl/>
              <w:spacing w:line="300" w:lineRule="exact"/>
              <w:jc w:val="center"/>
              <w:rPr>
                <w:rFonts w:ascii="仿宋_GB2312" w:hAnsi="宋体" w:eastAsia="仿宋_GB2312" w:cs="宋体"/>
                <w:sz w:val="32"/>
                <w:szCs w:val="32"/>
                <w:lang w:bidi="ar"/>
              </w:rPr>
            </w:pPr>
            <w:r>
              <w:rPr>
                <w:rFonts w:hint="eastAsia" w:ascii="仿宋_GB2312" w:hAnsi="宋体" w:eastAsia="仿宋_GB2312" w:cs="宋体"/>
                <w:sz w:val="32"/>
                <w:szCs w:val="32"/>
                <w:lang w:bidi="ar"/>
              </w:rPr>
              <w:t>100</w:t>
            </w:r>
            <w:r>
              <w:rPr>
                <w:rFonts w:hint="eastAsia" w:ascii="仿宋_GB2312" w:hAnsi="宋体" w:eastAsia="仿宋_GB2312" w:cs="宋体"/>
                <w:sz w:val="32"/>
                <w:szCs w:val="32"/>
                <w:lang w:val="en-US" w:eastAsia="zh-CN" w:bidi="ar"/>
              </w:rPr>
              <w:t>.00</w:t>
            </w:r>
            <w:r>
              <w:rPr>
                <w:rFonts w:hint="eastAsia" w:ascii="仿宋_GB2312" w:hAnsi="宋体" w:eastAsia="仿宋_GB2312" w:cs="宋体"/>
                <w:sz w:val="32"/>
                <w:szCs w:val="32"/>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348" w:type="dxa"/>
            <w:noWrap w:val="0"/>
            <w:vAlign w:val="center"/>
          </w:tcPr>
          <w:p>
            <w:pPr>
              <w:widowControl/>
              <w:spacing w:line="300" w:lineRule="exact"/>
              <w:jc w:val="center"/>
              <w:rPr>
                <w:rFonts w:ascii="仿宋_GB2312" w:hAnsi="宋体" w:eastAsia="仿宋_GB2312" w:cs="宋体"/>
                <w:sz w:val="32"/>
                <w:szCs w:val="32"/>
                <w:lang w:bidi="ar"/>
              </w:rPr>
            </w:pPr>
            <w:r>
              <w:rPr>
                <w:rFonts w:hint="eastAsia" w:ascii="仿宋_GB2312" w:hAnsi="宋体" w:eastAsia="仿宋_GB2312" w:cs="宋体"/>
                <w:b/>
                <w:bCs/>
                <w:sz w:val="32"/>
                <w:szCs w:val="32"/>
                <w:lang w:bidi="ar"/>
              </w:rPr>
              <w:t>评价总得分</w:t>
            </w:r>
          </w:p>
        </w:tc>
        <w:tc>
          <w:tcPr>
            <w:tcW w:w="1620" w:type="dxa"/>
            <w:noWrap w:val="0"/>
            <w:vAlign w:val="center"/>
          </w:tcPr>
          <w:p>
            <w:pPr>
              <w:widowControl/>
              <w:spacing w:line="300" w:lineRule="exact"/>
              <w:jc w:val="center"/>
              <w:rPr>
                <w:rFonts w:ascii="仿宋_GB2312" w:hAnsi="宋体" w:cs="宋体"/>
                <w:b/>
                <w:bCs/>
                <w:sz w:val="32"/>
                <w:szCs w:val="32"/>
                <w:lang w:bidi="ar"/>
              </w:rPr>
            </w:pPr>
            <w:r>
              <w:rPr>
                <w:rFonts w:hint="eastAsia" w:ascii="仿宋_GB2312" w:hAnsi="宋体" w:eastAsia="仿宋_GB2312" w:cs="宋体"/>
                <w:b/>
                <w:bCs/>
                <w:sz w:val="32"/>
                <w:szCs w:val="32"/>
                <w:lang w:bidi="ar"/>
              </w:rPr>
              <w:t>100</w:t>
            </w:r>
          </w:p>
        </w:tc>
        <w:tc>
          <w:tcPr>
            <w:tcW w:w="1800" w:type="dxa"/>
            <w:noWrap w:val="0"/>
            <w:vAlign w:val="center"/>
          </w:tcPr>
          <w:p>
            <w:pPr>
              <w:widowControl/>
              <w:spacing w:line="300" w:lineRule="exact"/>
              <w:jc w:val="center"/>
              <w:rPr>
                <w:rFonts w:hint="default" w:ascii="仿宋_GB2312" w:hAnsi="宋体" w:eastAsia="宋体" w:cs="宋体"/>
                <w:b/>
                <w:bCs/>
                <w:sz w:val="32"/>
                <w:szCs w:val="32"/>
                <w:lang w:val="en-US" w:eastAsia="zh-CN" w:bidi="ar"/>
              </w:rPr>
            </w:pPr>
            <w:r>
              <w:rPr>
                <w:rFonts w:hint="eastAsia" w:ascii="仿宋_GB2312" w:hAnsi="宋体" w:eastAsia="宋体" w:cs="宋体"/>
                <w:b/>
                <w:bCs/>
                <w:sz w:val="32"/>
                <w:szCs w:val="32"/>
                <w:lang w:val="en-US" w:eastAsia="zh-CN" w:bidi="ar"/>
              </w:rPr>
              <w:t>95.57</w:t>
            </w:r>
          </w:p>
        </w:tc>
        <w:tc>
          <w:tcPr>
            <w:tcW w:w="2118" w:type="dxa"/>
            <w:noWrap w:val="0"/>
            <w:vAlign w:val="center"/>
          </w:tcPr>
          <w:p>
            <w:pPr>
              <w:widowControl/>
              <w:spacing w:line="300" w:lineRule="exact"/>
              <w:jc w:val="center"/>
              <w:rPr>
                <w:rFonts w:ascii="仿宋_GB2312" w:hAnsi="宋体" w:cs="宋体"/>
                <w:b/>
                <w:bCs/>
                <w:sz w:val="32"/>
                <w:szCs w:val="32"/>
                <w:lang w:bidi="ar"/>
              </w:rPr>
            </w:pPr>
            <w:r>
              <w:rPr>
                <w:rFonts w:hint="eastAsia" w:ascii="仿宋_GB2312" w:hAnsi="宋体" w:cs="宋体"/>
                <w:b/>
                <w:bCs/>
                <w:sz w:val="32"/>
                <w:szCs w:val="32"/>
                <w:lang w:val="en-US" w:eastAsia="zh-CN" w:bidi="ar"/>
              </w:rPr>
              <w:t>95.57</w:t>
            </w:r>
            <w:r>
              <w:rPr>
                <w:rFonts w:hint="eastAsia" w:ascii="仿宋_GB2312" w:hAnsi="宋体" w:cs="宋体"/>
                <w:b/>
                <w:bCs/>
                <w:sz w:val="32"/>
                <w:szCs w:val="32"/>
                <w:lang w:bidi="ar"/>
              </w:rPr>
              <w:t>%</w:t>
            </w:r>
          </w:p>
        </w:tc>
      </w:tr>
    </w:tbl>
    <w:p>
      <w:pPr>
        <w:spacing w:line="360" w:lineRule="auto"/>
        <w:outlineLvl w:val="0"/>
        <w:rPr>
          <w:rFonts w:hint="eastAsia" w:ascii="黑体" w:hAnsi="黑体" w:eastAsia="黑体"/>
          <w:sz w:val="32"/>
          <w:szCs w:val="32"/>
          <w:lang w:val="en-US" w:eastAsia="zh-CN"/>
        </w:rPr>
      </w:pPr>
    </w:p>
    <w:p>
      <w:pPr>
        <w:spacing w:line="360" w:lineRule="auto"/>
        <w:ind w:firstLine="640" w:firstLineChars="200"/>
        <w:outlineLvl w:val="0"/>
        <w:rPr>
          <w:rFonts w:ascii="黑体" w:hAnsi="黑体" w:eastAsia="黑体"/>
          <w:sz w:val="32"/>
          <w:szCs w:val="32"/>
        </w:rPr>
      </w:pPr>
      <w:r>
        <w:rPr>
          <w:rFonts w:hint="eastAsia" w:ascii="黑体" w:hAnsi="黑体" w:eastAsia="黑体"/>
          <w:sz w:val="32"/>
          <w:szCs w:val="32"/>
          <w:lang w:val="en-US" w:eastAsia="zh-CN"/>
        </w:rPr>
        <w:t>三</w:t>
      </w:r>
      <w:r>
        <w:rPr>
          <w:rFonts w:hint="eastAsia" w:ascii="黑体" w:hAnsi="黑体" w:eastAsia="黑体"/>
          <w:sz w:val="32"/>
          <w:szCs w:val="32"/>
        </w:rPr>
        <w:t>、</w:t>
      </w:r>
      <w:r>
        <w:rPr>
          <w:rFonts w:hint="eastAsia" w:ascii="黑体" w:hAnsi="黑体" w:eastAsia="黑体"/>
          <w:sz w:val="32"/>
          <w:szCs w:val="32"/>
          <w:lang w:val="en-US" w:eastAsia="zh-CN"/>
        </w:rPr>
        <w:t>评价指标</w:t>
      </w:r>
      <w:r>
        <w:rPr>
          <w:rFonts w:hint="eastAsia" w:ascii="黑体" w:hAnsi="黑体" w:eastAsia="黑体"/>
          <w:sz w:val="32"/>
          <w:szCs w:val="32"/>
        </w:rPr>
        <w:t>分析</w:t>
      </w:r>
      <w:bookmarkEnd w:id="17"/>
    </w:p>
    <w:p>
      <w:pPr>
        <w:ind w:firstLine="642" w:firstLineChars="200"/>
        <w:outlineLvl w:val="1"/>
        <w:rPr>
          <w:rFonts w:eastAsia="楷体_GB2312"/>
          <w:b/>
          <w:bCs/>
          <w:sz w:val="32"/>
        </w:rPr>
      </w:pPr>
      <w:bookmarkStart w:id="18" w:name="_Toc96960256"/>
      <w:r>
        <w:rPr>
          <w:rFonts w:hint="eastAsia" w:eastAsia="楷体_GB2312"/>
          <w:b/>
          <w:bCs/>
          <w:sz w:val="32"/>
        </w:rPr>
        <w:t>（一）决策</w:t>
      </w:r>
      <w:bookmarkEnd w:id="18"/>
    </w:p>
    <w:p>
      <w:pPr>
        <w:ind w:firstLine="642" w:firstLineChars="200"/>
        <w:rPr>
          <w:rFonts w:ascii="仿宋_GB2312" w:eastAsia="仿宋_GB2312"/>
          <w:b/>
          <w:sz w:val="32"/>
          <w:szCs w:val="32"/>
        </w:rPr>
      </w:pPr>
      <w:r>
        <w:rPr>
          <w:rFonts w:hint="eastAsia" w:ascii="仿宋_GB2312" w:eastAsia="仿宋_GB2312"/>
          <w:b/>
          <w:sz w:val="32"/>
          <w:szCs w:val="32"/>
        </w:rPr>
        <w:t>1.项目立项</w:t>
      </w:r>
    </w:p>
    <w:p>
      <w:pPr>
        <w:pStyle w:val="16"/>
        <w:ind w:firstLine="640" w:firstLineChars="200"/>
        <w:rPr>
          <w:rFonts w:ascii="仿宋_GB2312" w:eastAsia="仿宋_GB2312"/>
          <w:sz w:val="32"/>
          <w:szCs w:val="32"/>
        </w:rPr>
      </w:pPr>
      <w:r>
        <w:rPr>
          <w:rFonts w:hint="eastAsia" w:ascii="仿宋_GB2312" w:eastAsia="仿宋_GB2312"/>
          <w:sz w:val="32"/>
          <w:szCs w:val="32"/>
        </w:rPr>
        <w:t>（1）</w:t>
      </w:r>
      <w:bookmarkStart w:id="19" w:name="_Toc11609385"/>
      <w:r>
        <w:rPr>
          <w:rFonts w:hint="eastAsia" w:ascii="仿宋_GB2312" w:eastAsia="仿宋_GB2312"/>
          <w:sz w:val="32"/>
          <w:szCs w:val="32"/>
        </w:rPr>
        <w:t>论证决策</w:t>
      </w:r>
      <w:bookmarkEnd w:id="19"/>
    </w:p>
    <w:p>
      <w:pPr>
        <w:pStyle w:val="16"/>
        <w:ind w:firstLine="640" w:firstLineChars="200"/>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highlight w:val="none"/>
          <w:lang w:val="en-US" w:eastAsia="zh-CN"/>
        </w:rPr>
        <w:t>该指标分值4分，不扣分，得4分。</w:t>
      </w:r>
    </w:p>
    <w:p>
      <w:pPr>
        <w:pStyle w:val="16"/>
        <w:ind w:firstLine="640" w:firstLineChars="200"/>
        <w:rPr>
          <w:rFonts w:hint="eastAsia" w:ascii="仿宋_GB2312" w:eastAsia="仿宋_GB2312"/>
          <w:sz w:val="32"/>
          <w:szCs w:val="32"/>
        </w:rPr>
      </w:pPr>
      <w:r>
        <w:rPr>
          <w:rFonts w:hint="eastAsia" w:ascii="仿宋_GB2312" w:hAnsi="仿宋_GB2312" w:eastAsia="仿宋_GB2312" w:cs="仿宋_GB2312"/>
          <w:sz w:val="32"/>
          <w:highlight w:val="none"/>
          <w:lang w:val="en-US" w:eastAsia="zh-CN"/>
        </w:rPr>
        <w:t>自2022年下半年起，曲江区共召开了3次区涉农领导小组工作会议、联席会议，对2023年涉农资金分配、涉农项目申报、绩效目标申报等事项进行集体审议：2022年8月，召开韶关市曲江区2023年省级涉农项目申报审定工作会议，审定了曲江区拟申报的2023年省级涉农资金项目，并部署项目上报工作；2023年1月，召开韶关市曲江区涉农资金统筹整合工作领导小组联席会议，审定曲江区2023年省级涉农资金分配方案及区域绩效目标；2023年5月，曲江区根据省市重新下达的任务清单和涉农资金金额，重新制定了涉农资金分配方案及区域绩效目标，并及时召开韶关市曲江区涉农资金统筹整合工作领导小组联席会议对其进行审议</w:t>
      </w:r>
      <w:r>
        <w:rPr>
          <w:rFonts w:hint="eastAsia" w:ascii="仿宋_GB2312" w:eastAsia="仿宋_GB2312"/>
          <w:sz w:val="32"/>
          <w:szCs w:val="32"/>
        </w:rPr>
        <w:t>。</w:t>
      </w:r>
    </w:p>
    <w:p>
      <w:pPr>
        <w:pStyle w:val="16"/>
        <w:ind w:firstLine="640" w:firstLineChars="200"/>
        <w:rPr>
          <w:rFonts w:hint="default" w:ascii="仿宋_GB2312" w:eastAsia="仿宋_GB2312"/>
          <w:sz w:val="32"/>
          <w:szCs w:val="32"/>
          <w:lang w:val="en-US" w:eastAsia="zh-CN"/>
        </w:rPr>
      </w:pPr>
      <w:r>
        <w:rPr>
          <w:rFonts w:hint="eastAsia" w:ascii="仿宋_GB2312" w:hAnsi="仿宋_GB2312" w:eastAsia="仿宋_GB2312" w:cs="仿宋_GB2312"/>
          <w:sz w:val="32"/>
          <w:highlight w:val="none"/>
          <w:lang w:val="en-US" w:eastAsia="zh-CN"/>
        </w:rPr>
        <w:t>曲江区</w:t>
      </w:r>
      <w:r>
        <w:rPr>
          <w:rFonts w:hint="eastAsia" w:ascii="仿宋_GB2312" w:eastAsia="仿宋_GB2312"/>
          <w:sz w:val="32"/>
          <w:szCs w:val="32"/>
          <w:lang w:val="en-US" w:eastAsia="zh-CN"/>
        </w:rPr>
        <w:t>2023年度涉农资金项目的前期论证充分。</w:t>
      </w:r>
    </w:p>
    <w:p>
      <w:pPr>
        <w:pStyle w:val="16"/>
        <w:ind w:firstLine="640" w:firstLineChars="200"/>
        <w:rPr>
          <w:rFonts w:ascii="仿宋_GB2312" w:eastAsia="仿宋_GB2312"/>
          <w:sz w:val="32"/>
          <w:szCs w:val="32"/>
        </w:rPr>
      </w:pPr>
      <w:r>
        <w:rPr>
          <w:rFonts w:hint="eastAsia" w:ascii="仿宋_GB2312" w:eastAsia="仿宋_GB2312"/>
          <w:sz w:val="32"/>
          <w:szCs w:val="32"/>
        </w:rPr>
        <w:t>（2）目标设置</w:t>
      </w:r>
    </w:p>
    <w:p>
      <w:pPr>
        <w:pStyle w:val="16"/>
        <w:ind w:firstLine="640" w:firstLineChars="200"/>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highlight w:val="none"/>
          <w:lang w:val="en-US" w:eastAsia="zh-CN"/>
        </w:rPr>
        <w:t>该指标分值6分，扣0.5分，得5.5分。</w:t>
      </w:r>
    </w:p>
    <w:p>
      <w:pPr>
        <w:pStyle w:val="16"/>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1）完整性</w:t>
      </w:r>
    </w:p>
    <w:p>
      <w:pPr>
        <w:pStyle w:val="16"/>
        <w:ind w:firstLine="640" w:firstLineChars="200"/>
        <w:rPr>
          <w:rFonts w:hint="eastAsia" w:ascii="仿宋_GB2312" w:hAnsi="仿宋_GB2312" w:eastAsia="仿宋_GB2312" w:cs="仿宋_GB2312"/>
          <w:sz w:val="32"/>
          <w:highlight w:val="none"/>
          <w:lang w:val="en-US" w:eastAsia="zh-CN"/>
        </w:rPr>
      </w:pPr>
      <w:r>
        <w:rPr>
          <w:rFonts w:hint="eastAsia" w:ascii="仿宋_GB2312" w:eastAsia="仿宋_GB2312"/>
          <w:sz w:val="32"/>
          <w:szCs w:val="32"/>
          <w:lang w:val="en-US" w:eastAsia="zh-CN"/>
        </w:rPr>
        <w:t>2023年曲江区涉农资金绩效</w:t>
      </w:r>
      <w:r>
        <w:rPr>
          <w:rFonts w:hint="eastAsia" w:ascii="仿宋_GB2312" w:hAnsi="仿宋_GB2312" w:eastAsia="仿宋_GB2312" w:cs="仿宋_GB2312"/>
          <w:sz w:val="32"/>
          <w:highlight w:val="none"/>
          <w:lang w:val="en-US" w:eastAsia="zh-CN"/>
        </w:rPr>
        <w:t>目标设置的完整性较好，主要体现在：</w:t>
      </w:r>
      <w:r>
        <w:rPr>
          <w:rFonts w:hint="eastAsia" w:ascii="仿宋_GB2312" w:eastAsia="仿宋_GB2312"/>
          <w:sz w:val="32"/>
          <w:szCs w:val="32"/>
        </w:rPr>
        <w:t>一是曲江区</w:t>
      </w:r>
      <w:r>
        <w:rPr>
          <w:rFonts w:hint="eastAsia" w:ascii="仿宋_GB2312" w:eastAsia="仿宋_GB2312"/>
          <w:sz w:val="32"/>
          <w:szCs w:val="32"/>
          <w:lang w:val="en-US" w:eastAsia="zh-CN"/>
        </w:rPr>
        <w:t>2023年涉农资金项目在项目入库申报时均填报了《项目绩效目标申报表》，设置了总体绩效目标和绩效指标，在绩效指标中包含了项目的产出指标和效益指标，项目的绩效目标完整性较好。二是</w:t>
      </w:r>
      <w:r>
        <w:rPr>
          <w:rFonts w:hint="eastAsia" w:ascii="仿宋_GB2312" w:hAnsi="仿宋_GB2312" w:eastAsia="仿宋_GB2312" w:cs="仿宋_GB2312"/>
          <w:sz w:val="32"/>
          <w:highlight w:val="none"/>
          <w:lang w:val="en-US" w:eastAsia="zh-CN"/>
        </w:rPr>
        <w:t>曲江区严格执行《广东省省级涉农资金绩效管理暂行办法》（粤涉农办〔2020〕2 号）的要求，结合本地工作实际，根据省级提前下达的涉农资金、报备项目、上一年度绩效目标和绩效考评结果等，研究设定了涉农资金区域绩效目标，并在规定时间内向省、市涉农办报送。</w:t>
      </w:r>
    </w:p>
    <w:p>
      <w:pPr>
        <w:pStyle w:val="16"/>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2）合理性</w:t>
      </w:r>
    </w:p>
    <w:p>
      <w:pPr>
        <w:pStyle w:val="16"/>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2023年曲江区涉农资金绩效</w:t>
      </w:r>
      <w:r>
        <w:rPr>
          <w:rFonts w:hint="eastAsia" w:ascii="仿宋_GB2312" w:hAnsi="仿宋_GB2312" w:eastAsia="仿宋_GB2312" w:cs="仿宋_GB2312"/>
          <w:sz w:val="32"/>
          <w:highlight w:val="none"/>
          <w:lang w:val="en-US" w:eastAsia="zh-CN"/>
        </w:rPr>
        <w:t>目标设置较为合理，主要体现在：</w:t>
      </w:r>
      <w:r>
        <w:rPr>
          <w:rFonts w:hint="eastAsia" w:ascii="仿宋_GB2312" w:eastAsia="仿宋_GB2312"/>
          <w:sz w:val="32"/>
          <w:szCs w:val="32"/>
        </w:rPr>
        <w:t>一是</w:t>
      </w:r>
      <w:r>
        <w:rPr>
          <w:rFonts w:hint="eastAsia" w:ascii="仿宋_GB2312" w:eastAsia="仿宋_GB2312"/>
          <w:sz w:val="32"/>
          <w:szCs w:val="32"/>
          <w:lang w:val="en-US" w:eastAsia="zh-CN"/>
        </w:rPr>
        <w:t>2023年曲江区涉农资金项目填报的绩效目标均与项目属性特点相关，反映了项目的主要建设内容和预期效益，合乎客观实际；二是2023年曲江区涉农资金报送的区域绩效目标与涉农资金优先支持的考核工作任务相对应，其指标值的设置符合考核任务目标要求。</w:t>
      </w:r>
    </w:p>
    <w:p>
      <w:pPr>
        <w:pStyle w:val="16"/>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3）可衡量性</w:t>
      </w:r>
    </w:p>
    <w:p>
      <w:pPr>
        <w:pStyle w:val="16"/>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2023年曲江区涉农资金绩效</w:t>
      </w:r>
      <w:r>
        <w:rPr>
          <w:rFonts w:hint="eastAsia" w:ascii="仿宋_GB2312" w:hAnsi="仿宋_GB2312" w:eastAsia="仿宋_GB2312" w:cs="仿宋_GB2312"/>
          <w:sz w:val="32"/>
          <w:highlight w:val="none"/>
          <w:lang w:val="en-US" w:eastAsia="zh-CN"/>
        </w:rPr>
        <w:t>目标设置的可衡量性良好，主要体现在：</w:t>
      </w:r>
      <w:r>
        <w:rPr>
          <w:rFonts w:hint="eastAsia" w:ascii="仿宋_GB2312" w:eastAsia="仿宋_GB2312"/>
          <w:sz w:val="32"/>
          <w:szCs w:val="32"/>
        </w:rPr>
        <w:t>一是</w:t>
      </w:r>
      <w:r>
        <w:rPr>
          <w:rFonts w:hint="eastAsia" w:ascii="仿宋_GB2312" w:eastAsia="仿宋_GB2312"/>
          <w:sz w:val="32"/>
          <w:szCs w:val="32"/>
          <w:lang w:val="en-US" w:eastAsia="zh-CN"/>
        </w:rPr>
        <w:t>曲江区2023年度</w:t>
      </w:r>
      <w:r>
        <w:rPr>
          <w:rFonts w:hint="eastAsia" w:ascii="仿宋_GB2312" w:eastAsia="仿宋_GB2312"/>
          <w:sz w:val="32"/>
          <w:szCs w:val="32"/>
        </w:rPr>
        <w:t>涉农</w:t>
      </w:r>
      <w:r>
        <w:rPr>
          <w:rFonts w:hint="eastAsia" w:ascii="仿宋_GB2312" w:eastAsia="仿宋_GB2312"/>
          <w:sz w:val="32"/>
          <w:szCs w:val="32"/>
          <w:lang w:val="en-US" w:eastAsia="zh-CN"/>
        </w:rPr>
        <w:t>资金</w:t>
      </w:r>
      <w:r>
        <w:rPr>
          <w:rFonts w:hint="eastAsia" w:ascii="仿宋_GB2312" w:eastAsia="仿宋_GB2312"/>
          <w:sz w:val="32"/>
          <w:szCs w:val="32"/>
        </w:rPr>
        <w:t>项目</w:t>
      </w:r>
      <w:r>
        <w:rPr>
          <w:rFonts w:hint="eastAsia" w:ascii="仿宋_GB2312" w:eastAsia="仿宋_GB2312"/>
          <w:sz w:val="32"/>
          <w:szCs w:val="32"/>
          <w:lang w:val="en-US" w:eastAsia="zh-CN"/>
        </w:rPr>
        <w:t>申报</w:t>
      </w:r>
      <w:r>
        <w:rPr>
          <w:rFonts w:hint="eastAsia" w:ascii="仿宋_GB2312" w:eastAsia="仿宋_GB2312"/>
          <w:sz w:val="32"/>
          <w:szCs w:val="32"/>
        </w:rPr>
        <w:t>的绩效指标</w:t>
      </w:r>
      <w:r>
        <w:rPr>
          <w:rFonts w:hint="eastAsia" w:ascii="仿宋_GB2312" w:eastAsia="仿宋_GB2312"/>
          <w:sz w:val="32"/>
          <w:szCs w:val="32"/>
          <w:lang w:val="en-US" w:eastAsia="zh-CN"/>
        </w:rPr>
        <w:t>量化程度较高</w:t>
      </w:r>
      <w:r>
        <w:rPr>
          <w:rFonts w:hint="eastAsia" w:ascii="仿宋_GB2312" w:eastAsia="仿宋_GB2312"/>
          <w:sz w:val="32"/>
          <w:szCs w:val="32"/>
          <w:lang w:eastAsia="zh-CN"/>
        </w:rPr>
        <w:t>；</w:t>
      </w:r>
      <w:r>
        <w:rPr>
          <w:rFonts w:hint="eastAsia" w:ascii="仿宋_GB2312" w:eastAsia="仿宋_GB2312"/>
          <w:sz w:val="32"/>
          <w:szCs w:val="32"/>
          <w:lang w:val="en-US" w:eastAsia="zh-CN"/>
        </w:rPr>
        <w:t>二是2023年曲江区报送的涉农资金区域绩效指标均为量化指标或可判定的定性指标。</w:t>
      </w:r>
    </w:p>
    <w:p>
      <w:pPr>
        <w:pStyle w:val="16"/>
        <w:ind w:firstLine="640" w:firstLineChars="200"/>
        <w:rPr>
          <w:rFonts w:hint="default" w:ascii="仿宋_GB2312" w:eastAsia="仿宋_GB2312"/>
          <w:sz w:val="32"/>
          <w:szCs w:val="32"/>
          <w:lang w:val="en-US" w:eastAsia="zh-CN"/>
        </w:rPr>
      </w:pPr>
      <w:r>
        <w:rPr>
          <w:rFonts w:hint="eastAsia" w:ascii="仿宋_GB2312" w:hAnsi="仿宋_GB2312" w:eastAsia="仿宋_GB2312" w:cs="仿宋_GB2312"/>
          <w:sz w:val="32"/>
          <w:highlight w:val="none"/>
          <w:lang w:val="en-US" w:eastAsia="zh-CN"/>
        </w:rPr>
        <w:t>存在问题：</w:t>
      </w:r>
      <w:r>
        <w:rPr>
          <w:rFonts w:hint="eastAsia" w:ascii="仿宋_GB2312" w:eastAsia="仿宋_GB2312"/>
          <w:sz w:val="32"/>
          <w:szCs w:val="32"/>
          <w:lang w:val="en-US" w:eastAsia="zh-CN"/>
        </w:rPr>
        <w:t>部分</w:t>
      </w:r>
      <w:r>
        <w:rPr>
          <w:rFonts w:hint="eastAsia" w:ascii="仿宋_GB2312" w:eastAsia="仿宋_GB2312"/>
          <w:sz w:val="32"/>
          <w:szCs w:val="32"/>
        </w:rPr>
        <w:t>涉农</w:t>
      </w:r>
      <w:r>
        <w:rPr>
          <w:rFonts w:hint="eastAsia" w:ascii="仿宋_GB2312" w:eastAsia="仿宋_GB2312"/>
          <w:sz w:val="32"/>
          <w:szCs w:val="32"/>
          <w:lang w:val="en-US" w:eastAsia="zh-CN"/>
        </w:rPr>
        <w:t>资金</w:t>
      </w:r>
      <w:r>
        <w:rPr>
          <w:rFonts w:hint="eastAsia" w:ascii="仿宋_GB2312" w:eastAsia="仿宋_GB2312"/>
          <w:sz w:val="32"/>
          <w:szCs w:val="32"/>
        </w:rPr>
        <w:t>项目</w:t>
      </w:r>
      <w:r>
        <w:rPr>
          <w:rFonts w:hint="eastAsia" w:ascii="仿宋_GB2312" w:eastAsia="仿宋_GB2312"/>
          <w:sz w:val="32"/>
          <w:szCs w:val="32"/>
          <w:lang w:val="en-US" w:eastAsia="zh-CN"/>
        </w:rPr>
        <w:t>申报的绩效指标难以衡量，如“韶关市曲江区苍村水库除险加固工程”项目的数量指标溢洪道除险修复长度和防汛公路维修长度，指标值分别为“约130米*宽22米”和“约1.2公里长，宽3.5米”，其中的“约”无明确的范围，难以衡量是否达标；“韶关市曲江区2023年粮食生产补助项目”项目的社会效益指标“较大程度确保粮食安全（是/否）”指标值为“是”，其中的“较大程度”无明确的范围或标准，难以衡量目标是否实现。</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（3）保障措施</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1）制度完整性</w:t>
      </w:r>
    </w:p>
    <w:p>
      <w:pPr>
        <w:pStyle w:val="16"/>
        <w:ind w:firstLine="640" w:firstLineChars="200"/>
        <w:rPr>
          <w:rFonts w:hint="eastAsia" w:ascii="仿宋_GB2312" w:eastAsia="仿宋_GB2312"/>
          <w:sz w:val="32"/>
          <w:szCs w:val="32"/>
          <w:lang w:val="en-US" w:eastAsia="zh-CN"/>
        </w:rPr>
      </w:pPr>
      <w:r>
        <w:rPr>
          <w:rFonts w:hint="eastAsia" w:ascii="仿宋_GB2312" w:hAnsi="仿宋_GB2312" w:eastAsia="仿宋_GB2312" w:cs="仿宋_GB2312"/>
          <w:sz w:val="32"/>
          <w:highlight w:val="none"/>
          <w:lang w:val="en-US" w:eastAsia="zh-CN"/>
        </w:rPr>
        <w:t>该指标分值1分，不扣分，得1分。</w:t>
      </w:r>
    </w:p>
    <w:p>
      <w:pPr>
        <w:pStyle w:val="16"/>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近年来，曲江区根据《广东省涉农资金统筹整合管理办法（2020年修订）》（粤财农〔2020〕106号 ）、《广东省省级涉农资金绩效管理暂行办法》（粤涉农办〔2020〕2号）和《广东省乡村振兴驻镇帮镇扶村资金筹集使用监管办法》（粤财农〔2021〕126号）等文件，结合本区实际制定了</w:t>
      </w:r>
      <w:r>
        <w:rPr>
          <w:rFonts w:hint="eastAsia" w:ascii="仿宋_GB2312" w:eastAsia="仿宋_GB2312"/>
          <w:sz w:val="32"/>
          <w:szCs w:val="32"/>
        </w:rPr>
        <w:t>《韶关市曲江区涉农项目和资金管理实施细则》（韶曲府办〔2020〕21号）、《韶关市曲江区乡村振兴驻镇帮镇扶村资金筹集使用监管细则》（韶曲财〔2021〕57号）</w:t>
      </w:r>
      <w:r>
        <w:rPr>
          <w:rFonts w:hint="eastAsia" w:ascii="仿宋_GB2312" w:eastAsia="仿宋_GB2312"/>
          <w:sz w:val="32"/>
          <w:szCs w:val="32"/>
          <w:lang w:val="en-US" w:eastAsia="zh-CN"/>
        </w:rPr>
        <w:t>等涉农资金</w:t>
      </w:r>
      <w:r>
        <w:rPr>
          <w:rFonts w:hint="eastAsia" w:ascii="仿宋_GB2312" w:eastAsia="仿宋_GB2312"/>
          <w:sz w:val="32"/>
          <w:szCs w:val="32"/>
        </w:rPr>
        <w:t>统筹整合</w:t>
      </w:r>
      <w:r>
        <w:rPr>
          <w:rFonts w:hint="eastAsia" w:ascii="仿宋_GB2312" w:eastAsia="仿宋_GB2312"/>
          <w:sz w:val="32"/>
          <w:szCs w:val="32"/>
          <w:lang w:val="en-US" w:eastAsia="zh-CN"/>
        </w:rPr>
        <w:t>工作</w:t>
      </w:r>
      <w:r>
        <w:rPr>
          <w:rFonts w:hint="eastAsia" w:ascii="仿宋_GB2312" w:eastAsia="仿宋_GB2312"/>
          <w:sz w:val="32"/>
          <w:szCs w:val="32"/>
        </w:rPr>
        <w:t>管理制度。</w:t>
      </w:r>
      <w:r>
        <w:rPr>
          <w:rFonts w:hint="eastAsia" w:ascii="仿宋_GB2312" w:eastAsia="仿宋_GB2312"/>
          <w:sz w:val="32"/>
          <w:szCs w:val="32"/>
          <w:lang w:val="en-US" w:eastAsia="zh-CN"/>
        </w:rPr>
        <w:t>同时，对于涉农资金项目中的工程项目，按照《韶关市曲江区政府投资工程建设项目管理办法》（韶曲府〔2022〕52号）的相关规定进行管理。</w:t>
      </w:r>
    </w:p>
    <w:p>
      <w:pPr>
        <w:pStyle w:val="16"/>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2023年曲江区涉农资金管理制度完整性较好</w:t>
      </w:r>
      <w:r>
        <w:rPr>
          <w:rFonts w:hint="eastAsia" w:ascii="仿宋_GB2312" w:hAnsi="仿宋_GB2312" w:eastAsia="仿宋_GB2312" w:cs="仿宋_GB2312"/>
          <w:sz w:val="32"/>
          <w:highlight w:val="none"/>
          <w:lang w:val="en-US" w:eastAsia="zh-CN"/>
        </w:rPr>
        <w:t>。</w:t>
      </w:r>
    </w:p>
    <w:p>
      <w:pPr>
        <w:spacing w:line="360" w:lineRule="auto"/>
        <w:ind w:firstLine="640"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计划安排</w:t>
      </w:r>
      <w:r>
        <w:rPr>
          <w:rFonts w:hint="eastAsia" w:ascii="仿宋_GB2312" w:eastAsia="仿宋_GB2312"/>
          <w:sz w:val="32"/>
          <w:szCs w:val="32"/>
          <w:lang w:val="en-US" w:eastAsia="zh-CN"/>
        </w:rPr>
        <w:t>合理性</w:t>
      </w:r>
      <w:r>
        <w:rPr>
          <w:rFonts w:hint="eastAsia" w:ascii="仿宋_GB2312" w:eastAsia="仿宋_GB2312"/>
          <w:sz w:val="32"/>
          <w:szCs w:val="32"/>
        </w:rPr>
        <w:t>。</w:t>
      </w:r>
    </w:p>
    <w:p>
      <w:pPr>
        <w:pStyle w:val="16"/>
        <w:ind w:firstLine="640" w:firstLineChars="200"/>
        <w:rPr>
          <w:rFonts w:hint="eastAsia" w:ascii="仿宋_GB2312" w:eastAsia="仿宋_GB2312"/>
          <w:sz w:val="32"/>
          <w:szCs w:val="32"/>
          <w:lang w:val="en-US" w:eastAsia="zh-CN"/>
        </w:rPr>
      </w:pPr>
      <w:r>
        <w:rPr>
          <w:rFonts w:hint="eastAsia" w:ascii="仿宋_GB2312" w:hAnsi="仿宋_GB2312" w:eastAsia="仿宋_GB2312" w:cs="仿宋_GB2312"/>
          <w:sz w:val="32"/>
          <w:highlight w:val="none"/>
          <w:lang w:val="en-US" w:eastAsia="zh-CN"/>
        </w:rPr>
        <w:t>该指标分值1分，不扣分，得1分。</w:t>
      </w:r>
    </w:p>
    <w:p>
      <w:pPr>
        <w:keepNext w:val="0"/>
        <w:keepLines w:val="0"/>
        <w:pageBreakBefore w:val="0"/>
        <w:widowControl w:val="0"/>
        <w:kinsoku/>
        <w:wordWrap/>
        <w:overflowPunct/>
        <w:topLinePunct w:val="0"/>
        <w:autoSpaceDE/>
        <w:autoSpaceDN/>
        <w:bidi w:val="0"/>
        <w:adjustRightInd w:val="0"/>
        <w:snapToGrid w:val="0"/>
        <w:spacing w:line="360" w:lineRule="auto"/>
        <w:ind w:firstLine="640"/>
        <w:jc w:val="left"/>
        <w:textAlignment w:val="auto"/>
        <w:rPr>
          <w:rFonts w:hint="eastAsia" w:ascii="仿宋_GB2312" w:hAnsi="仿宋_GB2312" w:eastAsia="仿宋_GB2312" w:cs="仿宋_GB2312"/>
          <w:b w:val="0"/>
          <w:bCs w:val="0"/>
          <w:sz w:val="32"/>
          <w:szCs w:val="32"/>
          <w:highlight w:val="none"/>
          <w:u w:val="none" w:color="auto"/>
          <w:lang w:val="en-US" w:eastAsia="zh-CN"/>
        </w:rPr>
      </w:pPr>
      <w:r>
        <w:rPr>
          <w:rFonts w:hint="eastAsia" w:ascii="仿宋_GB2312" w:hAnsi="仿宋_GB2312" w:eastAsia="仿宋_GB2312" w:cs="仿宋_GB2312"/>
          <w:b w:val="0"/>
          <w:bCs w:val="0"/>
          <w:sz w:val="32"/>
          <w:szCs w:val="32"/>
          <w:highlight w:val="none"/>
          <w:u w:val="none" w:color="auto"/>
          <w:lang w:val="en-US" w:eastAsia="zh-CN"/>
        </w:rPr>
        <w:t>曲江区根据《2023年涉农资金优先支持的考核工作任务清单》《关于2023年度涉农项目的联合审查意见和省级涉农资金支持情况说明》以及《省级涉农资金统筹整合工作指引》（粤涉农办〔2021〕1号），按照集中财力办大事的原则，在优先确保完成考核工作任务的基础上，围绕省委、省政府有关重要工作部署，聚焦本地区乡村振兴短板弱项，从省级联合审查通过的项目库中安排2023年度涉农资金项目；同时，在涉农资金项目实施过程中，通过制定具体可行的倒排工作计划，并不定时</w:t>
      </w:r>
      <w:r>
        <w:rPr>
          <w:rFonts w:hint="eastAsia" w:ascii="仿宋_GB2312" w:hAnsi="仿宋_GB2312" w:eastAsia="仿宋_GB2312" w:cs="仿宋_GB2312"/>
          <w:sz w:val="32"/>
          <w:highlight w:val="none"/>
          <w:lang w:val="en-US" w:eastAsia="zh-CN"/>
        </w:rPr>
        <w:t>通报项目实施情况</w:t>
      </w:r>
      <w:r>
        <w:rPr>
          <w:rFonts w:hint="eastAsia" w:ascii="仿宋_GB2312" w:hAnsi="仿宋_GB2312" w:eastAsia="仿宋_GB2312" w:cs="仿宋_GB2312"/>
          <w:b w:val="0"/>
          <w:bCs w:val="0"/>
          <w:sz w:val="32"/>
          <w:szCs w:val="32"/>
          <w:highlight w:val="none"/>
          <w:u w:val="none" w:color="auto"/>
          <w:lang w:val="en-US" w:eastAsia="zh-CN"/>
        </w:rPr>
        <w:t>，强化各涉农部门责任意识，及时推动本部门涉农项目进展，加快推进项目建设（实施）。</w:t>
      </w:r>
    </w:p>
    <w:p>
      <w:pPr>
        <w:keepNext w:val="0"/>
        <w:keepLines w:val="0"/>
        <w:pageBreakBefore w:val="0"/>
        <w:widowControl w:val="0"/>
        <w:kinsoku/>
        <w:wordWrap/>
        <w:overflowPunct/>
        <w:topLinePunct w:val="0"/>
        <w:autoSpaceDE/>
        <w:autoSpaceDN/>
        <w:bidi w:val="0"/>
        <w:adjustRightInd w:val="0"/>
        <w:snapToGrid w:val="0"/>
        <w:spacing w:line="360" w:lineRule="auto"/>
        <w:ind w:firstLine="640"/>
        <w:jc w:val="left"/>
        <w:textAlignment w:val="auto"/>
        <w:rPr>
          <w:rFonts w:hint="default" w:ascii="仿宋_GB2312" w:hAnsi="仿宋_GB2312" w:eastAsia="仿宋_GB2312" w:cs="仿宋_GB2312"/>
          <w:sz w:val="32"/>
          <w:highlight w:val="none"/>
          <w:lang w:val="en-US" w:eastAsia="zh-CN"/>
        </w:rPr>
      </w:pPr>
      <w:r>
        <w:rPr>
          <w:rFonts w:hint="eastAsia" w:ascii="仿宋_GB2312" w:hAnsi="仿宋_GB2312" w:eastAsia="仿宋_GB2312" w:cs="仿宋_GB2312"/>
          <w:b w:val="0"/>
          <w:bCs w:val="0"/>
          <w:sz w:val="32"/>
          <w:szCs w:val="32"/>
          <w:highlight w:val="none"/>
          <w:u w:val="none" w:color="auto"/>
          <w:lang w:val="en-US" w:eastAsia="zh-CN"/>
        </w:rPr>
        <w:t>2023年曲江区涉农资金项目实施的</w:t>
      </w:r>
      <w:r>
        <w:rPr>
          <w:rFonts w:hint="eastAsia" w:ascii="仿宋_GB2312" w:eastAsia="仿宋_GB2312"/>
          <w:sz w:val="32"/>
          <w:szCs w:val="32"/>
        </w:rPr>
        <w:t>计划安排</w:t>
      </w:r>
      <w:r>
        <w:rPr>
          <w:rFonts w:hint="eastAsia" w:ascii="仿宋_GB2312" w:eastAsia="仿宋_GB2312"/>
          <w:sz w:val="32"/>
          <w:szCs w:val="32"/>
          <w:lang w:val="en-US" w:eastAsia="zh-CN"/>
        </w:rPr>
        <w:t>较为科学、合理，符合客观实际。</w:t>
      </w:r>
    </w:p>
    <w:p>
      <w:pPr>
        <w:pStyle w:val="16"/>
        <w:ind w:firstLine="642" w:firstLineChars="200"/>
        <w:rPr>
          <w:rFonts w:ascii="楷体_GB2312" w:eastAsia="楷体_GB2312"/>
          <w:b/>
          <w:sz w:val="32"/>
          <w:szCs w:val="32"/>
        </w:rPr>
      </w:pPr>
      <w:r>
        <w:rPr>
          <w:rFonts w:hint="eastAsia" w:ascii="楷体_GB2312" w:eastAsia="楷体_GB2312"/>
          <w:b/>
          <w:sz w:val="32"/>
          <w:szCs w:val="32"/>
        </w:rPr>
        <w:t>2.资金落实。</w:t>
      </w:r>
    </w:p>
    <w:p>
      <w:pPr>
        <w:pStyle w:val="16"/>
        <w:ind w:firstLine="640" w:firstLineChars="200"/>
        <w:rPr>
          <w:rFonts w:ascii="仿宋_GB2312" w:eastAsia="仿宋_GB2312"/>
          <w:sz w:val="32"/>
          <w:szCs w:val="32"/>
        </w:rPr>
      </w:pPr>
      <w:r>
        <w:rPr>
          <w:rFonts w:hint="eastAsia" w:ascii="仿宋_GB2312" w:eastAsia="仿宋_GB2312"/>
          <w:sz w:val="32"/>
          <w:szCs w:val="32"/>
        </w:rPr>
        <w:t>（1）资金到位。</w:t>
      </w:r>
    </w:p>
    <w:p>
      <w:pPr>
        <w:pStyle w:val="16"/>
        <w:ind w:firstLine="640" w:firstLineChars="200"/>
        <w:rPr>
          <w:rFonts w:hint="eastAsia" w:ascii="仿宋_GB2312" w:hAnsi="仿宋_GB2312" w:eastAsia="仿宋_GB2312" w:cs="仿宋_GB2312"/>
          <w:b w:val="0"/>
          <w:bCs w:val="0"/>
          <w:sz w:val="32"/>
          <w:szCs w:val="32"/>
          <w:lang w:val="en-US" w:eastAsia="zh-CN"/>
        </w:rPr>
      </w:pPr>
      <w:r>
        <w:rPr>
          <w:rFonts w:hint="eastAsia" w:ascii="Times New Roman" w:hAnsi="Times New Roman" w:eastAsia="仿宋_GB2312"/>
          <w:sz w:val="32"/>
        </w:rPr>
        <w:t>该指标</w:t>
      </w:r>
      <w:r>
        <w:rPr>
          <w:rFonts w:hint="eastAsia" w:ascii="Times New Roman" w:hAnsi="Times New Roman" w:eastAsia="仿宋_GB2312"/>
          <w:sz w:val="32"/>
          <w:lang w:val="en-US" w:eastAsia="zh-CN"/>
        </w:rPr>
        <w:t>分值5分，在资金到位及时性方面</w:t>
      </w:r>
      <w:r>
        <w:rPr>
          <w:rFonts w:hint="eastAsia" w:ascii="Times New Roman" w:hAnsi="Times New Roman" w:eastAsia="仿宋_GB2312"/>
          <w:sz w:val="32"/>
        </w:rPr>
        <w:t>扣</w:t>
      </w:r>
      <w:r>
        <w:rPr>
          <w:rFonts w:hint="eastAsia" w:ascii="Times New Roman" w:hAnsi="Times New Roman" w:eastAsia="仿宋_GB2312"/>
          <w:sz w:val="32"/>
          <w:lang w:val="en-US" w:eastAsia="zh-CN"/>
        </w:rPr>
        <w:t>0.5</w:t>
      </w:r>
      <w:r>
        <w:rPr>
          <w:rFonts w:hint="eastAsia" w:ascii="Times New Roman" w:hAnsi="Times New Roman" w:eastAsia="仿宋_GB2312"/>
          <w:sz w:val="32"/>
        </w:rPr>
        <w:t>分</w:t>
      </w:r>
      <w:r>
        <w:rPr>
          <w:rFonts w:hint="eastAsia" w:ascii="Times New Roman" w:hAnsi="Times New Roman" w:eastAsia="仿宋_GB2312"/>
          <w:sz w:val="32"/>
          <w:lang w:eastAsia="zh-CN"/>
        </w:rPr>
        <w:t>，</w:t>
      </w:r>
      <w:r>
        <w:rPr>
          <w:rFonts w:hint="eastAsia" w:ascii="Times New Roman" w:hAnsi="Times New Roman" w:eastAsia="仿宋_GB2312"/>
          <w:sz w:val="32"/>
          <w:lang w:val="en-US" w:eastAsia="zh-CN"/>
        </w:rPr>
        <w:t>得4.5分</w:t>
      </w:r>
      <w:r>
        <w:rPr>
          <w:rFonts w:hint="eastAsia" w:ascii="Times New Roman" w:hAnsi="Times New Roman" w:eastAsia="仿宋_GB2312"/>
          <w:sz w:val="32"/>
        </w:rPr>
        <w:t>。</w:t>
      </w:r>
    </w:p>
    <w:p>
      <w:pPr>
        <w:pStyle w:val="16"/>
        <w:ind w:firstLine="640" w:firstLineChars="200"/>
        <w:rPr>
          <w:rFonts w:hint="default" w:ascii="仿宋_GB2312" w:eastAsia="仿宋_GB2312"/>
          <w:sz w:val="32"/>
          <w:szCs w:val="32"/>
          <w:lang w:val="en-US" w:eastAsia="zh-CN"/>
        </w:rPr>
      </w:pPr>
      <w:r>
        <w:rPr>
          <w:rFonts w:hint="eastAsia" w:ascii="仿宋_GB2312" w:hAnsi="仿宋_GB2312" w:eastAsia="仿宋_GB2312" w:cs="仿宋_GB2312"/>
          <w:b w:val="0"/>
          <w:bCs w:val="0"/>
          <w:sz w:val="32"/>
          <w:szCs w:val="32"/>
          <w:lang w:val="en-US" w:eastAsia="zh-CN"/>
        </w:rPr>
        <w:t>2023年韶关市曲江区省级涉农统筹整合转移支付资金总额20,728.05万元（含省级乡村振兴驻镇帮镇扶村资金12,888万元）</w:t>
      </w:r>
      <w:r>
        <w:rPr>
          <w:rFonts w:hint="eastAsia" w:ascii="仿宋_GB2312" w:eastAsia="仿宋_GB2312"/>
          <w:sz w:val="32"/>
          <w:szCs w:val="32"/>
        </w:rPr>
        <w:t>。</w:t>
      </w:r>
      <w:r>
        <w:rPr>
          <w:rFonts w:hint="eastAsia" w:ascii="仿宋_GB2312" w:eastAsia="仿宋_GB2312"/>
          <w:sz w:val="32"/>
          <w:szCs w:val="32"/>
          <w:lang w:val="en-US" w:eastAsia="zh-CN"/>
        </w:rPr>
        <w:t>资金到位详见下表3-1：</w:t>
      </w:r>
    </w:p>
    <w:p>
      <w:pPr>
        <w:jc w:val="center"/>
        <w:rPr>
          <w:rFonts w:ascii="黑体" w:hAnsi="黑体" w:eastAsia="黑体" w:cs="仿宋"/>
          <w:sz w:val="28"/>
          <w:szCs w:val="28"/>
        </w:rPr>
      </w:pPr>
      <w:r>
        <w:rPr>
          <w:rFonts w:hint="eastAsia" w:ascii="黑体" w:hAnsi="黑体" w:eastAsia="黑体" w:cs="仿宋"/>
          <w:sz w:val="28"/>
          <w:szCs w:val="28"/>
        </w:rPr>
        <w:t>表</w:t>
      </w:r>
      <w:r>
        <w:rPr>
          <w:rFonts w:hint="eastAsia" w:ascii="黑体" w:hAnsi="黑体" w:eastAsia="黑体" w:cs="仿宋"/>
          <w:sz w:val="28"/>
          <w:szCs w:val="28"/>
          <w:lang w:val="en-US" w:eastAsia="zh-CN"/>
        </w:rPr>
        <w:t>3-1</w:t>
      </w:r>
      <w:r>
        <w:rPr>
          <w:rFonts w:hint="eastAsia" w:ascii="黑体" w:hAnsi="黑体" w:eastAsia="黑体" w:cs="仿宋"/>
          <w:sz w:val="28"/>
          <w:szCs w:val="28"/>
        </w:rPr>
        <w:t xml:space="preserve">  </w:t>
      </w:r>
      <w:r>
        <w:rPr>
          <w:rFonts w:hint="eastAsia" w:ascii="黑体" w:hAnsi="黑体" w:eastAsia="黑体" w:cs="黑体"/>
          <w:sz w:val="28"/>
          <w:szCs w:val="28"/>
        </w:rPr>
        <w:t>曲江区</w:t>
      </w:r>
      <w:r>
        <w:rPr>
          <w:rFonts w:hint="eastAsia" w:ascii="黑体" w:hAnsi="黑体" w:eastAsia="黑体" w:cs="黑体"/>
          <w:sz w:val="28"/>
          <w:szCs w:val="28"/>
          <w:lang w:eastAsia="zh-CN"/>
        </w:rPr>
        <w:t>2023</w:t>
      </w:r>
      <w:r>
        <w:rPr>
          <w:rFonts w:hint="eastAsia" w:ascii="黑体" w:hAnsi="黑体" w:eastAsia="黑体" w:cs="黑体"/>
          <w:sz w:val="28"/>
          <w:szCs w:val="28"/>
        </w:rPr>
        <w:t>年</w:t>
      </w:r>
      <w:r>
        <w:rPr>
          <w:rFonts w:hint="eastAsia" w:ascii="黑体" w:hAnsi="黑体" w:eastAsia="黑体" w:cs="黑体"/>
          <w:sz w:val="28"/>
          <w:szCs w:val="28"/>
          <w:lang w:val="en-US" w:eastAsia="zh-CN"/>
        </w:rPr>
        <w:t>省级涉农统筹整合转移支付资金到位情况</w:t>
      </w:r>
      <w:r>
        <w:rPr>
          <w:rFonts w:hint="eastAsia" w:ascii="黑体" w:hAnsi="黑体" w:eastAsia="黑体" w:cs="仿宋"/>
          <w:sz w:val="28"/>
          <w:szCs w:val="28"/>
        </w:rPr>
        <w:t>表</w:t>
      </w:r>
    </w:p>
    <w:tbl>
      <w:tblPr>
        <w:tblStyle w:val="12"/>
        <w:tblW w:w="932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48"/>
        <w:gridCol w:w="3840"/>
        <w:gridCol w:w="1953"/>
        <w:gridCol w:w="1163"/>
        <w:gridCol w:w="18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序号</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资金文号</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下达日期</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下达金额（万元）</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jc w:val="center"/>
        </w:trPr>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22"/>
                <w:szCs w:val="22"/>
                <w:u w:val="none"/>
                <w:lang w:val="en-US" w:eastAsia="zh-CN" w:bidi="ar"/>
              </w:rPr>
            </w:pPr>
            <w:r>
              <w:rPr>
                <w:rFonts w:hint="eastAsia" w:ascii="仿宋_GB2312" w:hAnsi="宋体" w:eastAsia="仿宋_GB2312" w:cs="仿宋_GB2312"/>
                <w:i w:val="0"/>
                <w:iCs w:val="0"/>
                <w:color w:val="000000"/>
                <w:kern w:val="0"/>
                <w:sz w:val="22"/>
                <w:szCs w:val="22"/>
                <w:u w:val="none"/>
                <w:lang w:val="en-US" w:eastAsia="zh-CN" w:bidi="ar"/>
              </w:rPr>
              <w:t>《关于提前下达2023年省级涉农统筹整合转移支付资金的通知》</w:t>
            </w:r>
          </w:p>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（韶财农〔2022〕163号）</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2022年12月26日</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15138</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含9900万元省级乡村振兴驻镇帮镇扶村资金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jc w:val="center"/>
        </w:trPr>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22"/>
                <w:szCs w:val="22"/>
                <w:u w:val="none"/>
                <w:lang w:val="en-US" w:eastAsia="zh-CN" w:bidi="ar"/>
              </w:rPr>
            </w:pPr>
            <w:r>
              <w:rPr>
                <w:rFonts w:hint="eastAsia" w:ascii="仿宋_GB2312" w:hAnsi="宋体" w:eastAsia="仿宋_GB2312" w:cs="仿宋_GB2312"/>
                <w:i w:val="0"/>
                <w:iCs w:val="0"/>
                <w:color w:val="000000"/>
                <w:kern w:val="0"/>
                <w:sz w:val="22"/>
                <w:szCs w:val="22"/>
                <w:u w:val="none"/>
                <w:lang w:val="en-US" w:eastAsia="zh-CN" w:bidi="ar"/>
              </w:rPr>
              <w:t>《关于下达2023年省级涉农统筹整合转移支付资金（第二批）的通知》</w:t>
            </w:r>
          </w:p>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（韶财农〔2023〕44号）</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2023年5月16日</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1088</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jc w:val="center"/>
        </w:trPr>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《关于下达2023年第二批省级乡村振兴驻镇帮镇扶村资金（省级巩固拓展脱贫攻坚成果同乡村振兴有效衔接资金）的通知》（韶财农〔2023〕91号）</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2023年9月19日</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2988</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省级乡村振兴驻镇帮镇扶村资金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jc w:val="center"/>
        </w:trPr>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《关于下达2023年省级涉农统筹整合转移支付资金（高标准农田）的通知》（韶财农〔2023〕97号）</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2023年10月26日</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1027.05</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jc w:val="center"/>
        </w:trPr>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6</w:t>
            </w:r>
          </w:p>
        </w:tc>
        <w:tc>
          <w:tcPr>
            <w:tcW w:w="38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kern w:val="0"/>
                <w:sz w:val="22"/>
                <w:szCs w:val="22"/>
                <w:u w:val="none"/>
                <w:lang w:val="en-US" w:eastAsia="zh-CN" w:bidi="ar"/>
              </w:rPr>
            </w:pPr>
            <w:r>
              <w:rPr>
                <w:rFonts w:hint="eastAsia" w:ascii="仿宋_GB2312" w:hAnsi="宋体" w:eastAsia="仿宋_GB2312" w:cs="仿宋_GB2312"/>
                <w:i w:val="0"/>
                <w:iCs w:val="0"/>
                <w:color w:val="000000"/>
                <w:kern w:val="0"/>
                <w:sz w:val="22"/>
                <w:szCs w:val="22"/>
                <w:u w:val="none"/>
                <w:lang w:val="en-US" w:eastAsia="zh-CN" w:bidi="ar"/>
              </w:rPr>
              <w:t>《关于下达2023年省级涉农资金（部分重点水利项目）的通知》</w:t>
            </w:r>
          </w:p>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（韶财农〔2023〕126号）</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2023年12月27日</w:t>
            </w: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487</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4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合    计</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2"/>
                <w:szCs w:val="22"/>
                <w:u w:val="none"/>
              </w:rPr>
            </w:pPr>
          </w:p>
        </w:tc>
        <w:tc>
          <w:tcPr>
            <w:tcW w:w="11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20728.05</w:t>
            </w:r>
          </w:p>
        </w:tc>
        <w:tc>
          <w:tcPr>
            <w:tcW w:w="18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2"/>
                <w:szCs w:val="22"/>
                <w:u w:val="none"/>
              </w:rPr>
            </w:pPr>
          </w:p>
        </w:tc>
      </w:tr>
    </w:tbl>
    <w:p>
      <w:pPr>
        <w:pStyle w:val="16"/>
        <w:ind w:firstLine="640" w:firstLineChars="200"/>
        <w:rPr>
          <w:rFonts w:hint="default" w:ascii="仿宋_GB2312" w:eastAsia="仿宋_GB2312"/>
          <w:sz w:val="32"/>
          <w:szCs w:val="32"/>
          <w:lang w:val="en-US"/>
        </w:rPr>
      </w:pPr>
      <w:r>
        <w:rPr>
          <w:rFonts w:hint="eastAsia" w:ascii="仿宋_GB2312" w:hAnsi="仿宋_GB2312" w:eastAsia="仿宋_GB2312" w:cs="仿宋_GB2312"/>
          <w:b w:val="0"/>
          <w:bCs w:val="0"/>
          <w:sz w:val="32"/>
          <w:szCs w:val="32"/>
          <w:lang w:val="en-US" w:eastAsia="zh-CN"/>
        </w:rPr>
        <w:t>2023年曲江区省级涉农统筹整合转移支付资金足额到位，但部分资金在下半年才下达到位，资金到位的及时性存在不足。</w:t>
      </w:r>
    </w:p>
    <w:p>
      <w:pPr>
        <w:ind w:firstLine="640" w:firstLineChars="200"/>
        <w:rPr>
          <w:rFonts w:ascii="仿宋_GB2312" w:eastAsia="仿宋_GB2312"/>
          <w:sz w:val="32"/>
          <w:szCs w:val="32"/>
        </w:rPr>
      </w:pPr>
      <w:r>
        <w:rPr>
          <w:rFonts w:hint="eastAsia" w:ascii="仿宋_GB2312" w:eastAsia="仿宋_GB2312"/>
          <w:sz w:val="32"/>
          <w:szCs w:val="32"/>
        </w:rPr>
        <w:t>（2）资金分配。</w:t>
      </w:r>
    </w:p>
    <w:p>
      <w:pPr>
        <w:ind w:firstLine="640" w:firstLineChars="200"/>
        <w:rPr>
          <w:rFonts w:eastAsia="仿宋_GB2312"/>
          <w:sz w:val="32"/>
        </w:rPr>
      </w:pPr>
      <w:r>
        <w:rPr>
          <w:rFonts w:hint="eastAsia" w:ascii="Times New Roman" w:hAnsi="Times New Roman" w:eastAsia="仿宋_GB2312" w:cs="Times New Roman"/>
          <w:sz w:val="32"/>
        </w:rPr>
        <w:t>该指标</w:t>
      </w:r>
      <w:r>
        <w:rPr>
          <w:rFonts w:hint="eastAsia" w:ascii="Times New Roman" w:hAnsi="Times New Roman" w:eastAsia="仿宋_GB2312" w:cs="Times New Roman"/>
          <w:sz w:val="32"/>
          <w:lang w:val="en-US" w:eastAsia="zh-CN"/>
        </w:rPr>
        <w:t>分值3分，</w:t>
      </w:r>
      <w:r>
        <w:rPr>
          <w:rFonts w:hint="eastAsia" w:ascii="Times New Roman" w:hAnsi="Times New Roman" w:eastAsia="仿宋_GB2312" w:cs="Times New Roman"/>
          <w:sz w:val="32"/>
        </w:rPr>
        <w:t>不扣分</w:t>
      </w:r>
      <w:r>
        <w:rPr>
          <w:rFonts w:hint="eastAsia" w:ascii="Times New Roman" w:hAnsi="Times New Roman" w:eastAsia="仿宋_GB2312" w:cs="Times New Roman"/>
          <w:sz w:val="32"/>
          <w:lang w:eastAsia="zh-CN"/>
        </w:rPr>
        <w:t>，</w:t>
      </w:r>
      <w:r>
        <w:rPr>
          <w:rFonts w:hint="eastAsia" w:ascii="Times New Roman" w:hAnsi="Times New Roman" w:eastAsia="仿宋_GB2312" w:cs="Times New Roman"/>
          <w:sz w:val="32"/>
          <w:lang w:val="en-US" w:eastAsia="zh-CN"/>
        </w:rPr>
        <w:t>得3分</w:t>
      </w:r>
      <w:r>
        <w:rPr>
          <w:rFonts w:hint="eastAsia" w:ascii="Times New Roman" w:hAnsi="Times New Roman" w:eastAsia="仿宋_GB2312" w:cs="Times New Roman"/>
          <w:sz w:val="32"/>
        </w:rPr>
        <w:t>。</w:t>
      </w:r>
    </w:p>
    <w:p>
      <w:pPr>
        <w:ind w:firstLine="640" w:firstLineChars="200"/>
        <w:rPr>
          <w:rFonts w:hint="eastAsia" w:ascii="仿宋_GB2312" w:hAnsi="仿宋_GB2312" w:eastAsia="仿宋_GB2312" w:cs="仿宋_GB2312"/>
          <w:b w:val="0"/>
          <w:bCs w:val="0"/>
          <w:sz w:val="32"/>
          <w:lang w:val="en-US" w:eastAsia="zh-CN"/>
        </w:rPr>
      </w:pPr>
      <w:r>
        <w:rPr>
          <w:rFonts w:hint="eastAsia" w:ascii="仿宋_GB2312" w:hAnsi="仿宋_GB2312" w:eastAsia="仿宋_GB2312" w:cs="仿宋_GB2312"/>
          <w:b w:val="0"/>
          <w:bCs w:val="0"/>
          <w:sz w:val="32"/>
          <w:szCs w:val="32"/>
          <w:lang w:val="en-US" w:eastAsia="zh-CN"/>
        </w:rPr>
        <w:t>2023年韶关市曲江区省级涉农统筹整合转移支付资金总额20,728.05万元，分配到</w:t>
      </w:r>
      <w:r>
        <w:rPr>
          <w:rFonts w:hint="eastAsia" w:ascii="仿宋_GB2312" w:hAnsi="仿宋_GB2312" w:eastAsia="仿宋_GB2312" w:cs="仿宋_GB2312"/>
          <w:kern w:val="2"/>
          <w:sz w:val="32"/>
          <w:highlight w:val="none"/>
        </w:rPr>
        <w:t>农业农村局、文化广电旅游体育局、交通运输局、自然资源局、水务局、卫生健康局、气象局、住房和城乡建设管理局</w:t>
      </w:r>
      <w:r>
        <w:rPr>
          <w:rFonts w:hint="eastAsia" w:ascii="仿宋_GB2312" w:hAnsi="仿宋_GB2312" w:eastAsia="仿宋_GB2312" w:cs="仿宋_GB2312"/>
          <w:kern w:val="2"/>
          <w:sz w:val="32"/>
          <w:highlight w:val="none"/>
          <w:lang w:val="en-US" w:eastAsia="zh-CN"/>
        </w:rPr>
        <w:t>及</w:t>
      </w:r>
      <w:r>
        <w:rPr>
          <w:rFonts w:hint="eastAsia" w:ascii="仿宋_GB2312" w:hAnsi="仿宋_GB2312" w:eastAsia="仿宋_GB2312" w:cs="仿宋_GB2312"/>
          <w:kern w:val="2"/>
          <w:sz w:val="32"/>
          <w:highlight w:val="none"/>
        </w:rPr>
        <w:t>财政局</w:t>
      </w:r>
      <w:r>
        <w:rPr>
          <w:rFonts w:hint="eastAsia" w:ascii="仿宋_GB2312" w:hAnsi="仿宋_GB2312" w:eastAsia="仿宋_GB2312" w:cs="仿宋_GB2312"/>
          <w:kern w:val="2"/>
          <w:sz w:val="32"/>
          <w:highlight w:val="none"/>
          <w:lang w:val="en-US" w:eastAsia="zh-CN"/>
        </w:rPr>
        <w:t>等九个部门</w:t>
      </w:r>
      <w:r>
        <w:rPr>
          <w:rFonts w:hint="eastAsia" w:ascii="仿宋_GB2312" w:hAnsi="仿宋_GB2312" w:eastAsia="仿宋_GB2312" w:cs="仿宋_GB2312"/>
          <w:b w:val="0"/>
          <w:bCs w:val="0"/>
          <w:sz w:val="32"/>
          <w:lang w:val="en-US" w:eastAsia="zh-CN"/>
        </w:rPr>
        <w:t>共计</w:t>
      </w:r>
      <w:r>
        <w:rPr>
          <w:rFonts w:hint="eastAsia" w:ascii="仿宋_GB2312" w:hAnsi="仿宋_GB2312" w:eastAsia="仿宋_GB2312" w:cs="仿宋_GB2312"/>
          <w:kern w:val="2"/>
          <w:sz w:val="32"/>
          <w:highlight w:val="none"/>
          <w:lang w:val="en-US" w:eastAsia="zh-CN"/>
        </w:rPr>
        <w:t>103</w:t>
      </w:r>
      <w:r>
        <w:rPr>
          <w:rFonts w:hint="eastAsia" w:ascii="仿宋_GB2312" w:hAnsi="仿宋_GB2312" w:eastAsia="仿宋_GB2312" w:cs="仿宋_GB2312"/>
          <w:b w:val="0"/>
          <w:bCs w:val="0"/>
          <w:sz w:val="32"/>
          <w:lang w:val="en-US" w:eastAsia="zh-CN"/>
        </w:rPr>
        <w:t>个项目，详见下表3-2：</w:t>
      </w:r>
    </w:p>
    <w:p>
      <w:pPr>
        <w:jc w:val="center"/>
        <w:rPr>
          <w:rFonts w:ascii="黑体" w:hAnsi="黑体" w:eastAsia="黑体" w:cs="仿宋"/>
          <w:sz w:val="28"/>
          <w:szCs w:val="28"/>
        </w:rPr>
      </w:pPr>
      <w:r>
        <w:rPr>
          <w:rFonts w:hint="eastAsia" w:ascii="黑体" w:hAnsi="黑体" w:eastAsia="黑体" w:cs="仿宋"/>
          <w:sz w:val="28"/>
          <w:szCs w:val="28"/>
        </w:rPr>
        <w:t>表</w:t>
      </w:r>
      <w:r>
        <w:rPr>
          <w:rFonts w:hint="eastAsia" w:ascii="黑体" w:hAnsi="黑体" w:eastAsia="黑体" w:cs="仿宋"/>
          <w:sz w:val="28"/>
          <w:szCs w:val="28"/>
          <w:lang w:val="en-US" w:eastAsia="zh-CN"/>
        </w:rPr>
        <w:t>3-2</w:t>
      </w:r>
      <w:r>
        <w:rPr>
          <w:rFonts w:hint="eastAsia" w:ascii="黑体" w:hAnsi="黑体" w:eastAsia="黑体" w:cs="仿宋"/>
          <w:sz w:val="28"/>
          <w:szCs w:val="28"/>
        </w:rPr>
        <w:t xml:space="preserve">  </w:t>
      </w:r>
      <w:r>
        <w:rPr>
          <w:rFonts w:hint="eastAsia" w:ascii="黑体" w:hAnsi="黑体" w:eastAsia="黑体" w:cs="黑体"/>
          <w:sz w:val="28"/>
          <w:szCs w:val="28"/>
        </w:rPr>
        <w:t>曲江区</w:t>
      </w:r>
      <w:r>
        <w:rPr>
          <w:rFonts w:hint="eastAsia" w:ascii="黑体" w:hAnsi="黑体" w:eastAsia="黑体" w:cs="黑体"/>
          <w:sz w:val="28"/>
          <w:szCs w:val="28"/>
          <w:lang w:eastAsia="zh-CN"/>
        </w:rPr>
        <w:t>2023</w:t>
      </w:r>
      <w:r>
        <w:rPr>
          <w:rFonts w:hint="eastAsia" w:ascii="黑体" w:hAnsi="黑体" w:eastAsia="黑体" w:cs="黑体"/>
          <w:sz w:val="28"/>
          <w:szCs w:val="28"/>
        </w:rPr>
        <w:t>年</w:t>
      </w:r>
      <w:r>
        <w:rPr>
          <w:rFonts w:hint="eastAsia" w:ascii="黑体" w:hAnsi="黑体" w:eastAsia="黑体" w:cs="黑体"/>
          <w:sz w:val="28"/>
          <w:szCs w:val="28"/>
          <w:lang w:val="en-US" w:eastAsia="zh-CN"/>
        </w:rPr>
        <w:t>省级涉农统筹整合转移支付资金分配情况</w:t>
      </w:r>
      <w:r>
        <w:rPr>
          <w:rFonts w:hint="eastAsia" w:ascii="黑体" w:hAnsi="黑体" w:eastAsia="黑体" w:cs="仿宋"/>
          <w:sz w:val="28"/>
          <w:szCs w:val="28"/>
        </w:rPr>
        <w:t>表</w:t>
      </w:r>
    </w:p>
    <w:tbl>
      <w:tblPr>
        <w:tblStyle w:val="12"/>
        <w:tblW w:w="868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37"/>
        <w:gridCol w:w="3388"/>
        <w:gridCol w:w="2250"/>
        <w:gridCol w:w="22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序号</w:t>
            </w:r>
          </w:p>
        </w:tc>
        <w:tc>
          <w:tcPr>
            <w:tcW w:w="338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部门</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安排项目数（个）</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安排金额（万元）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22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合计</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103</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20728.05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w:t>
            </w:r>
          </w:p>
        </w:tc>
        <w:tc>
          <w:tcPr>
            <w:tcW w:w="3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区农业农村局</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27</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8883.55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2</w:t>
            </w:r>
          </w:p>
        </w:tc>
        <w:tc>
          <w:tcPr>
            <w:tcW w:w="3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区水务局</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17</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3703.74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3</w:t>
            </w:r>
          </w:p>
        </w:tc>
        <w:tc>
          <w:tcPr>
            <w:tcW w:w="3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区自然资源局</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13</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1793.00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4</w:t>
            </w:r>
          </w:p>
        </w:tc>
        <w:tc>
          <w:tcPr>
            <w:tcW w:w="3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区交通运输局</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31</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3536.78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5</w:t>
            </w:r>
          </w:p>
        </w:tc>
        <w:tc>
          <w:tcPr>
            <w:tcW w:w="3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区卫生健康局</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3</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688.00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6</w:t>
            </w:r>
          </w:p>
        </w:tc>
        <w:tc>
          <w:tcPr>
            <w:tcW w:w="33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区文化广电旅游体育局</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2</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98.00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7</w:t>
            </w:r>
          </w:p>
        </w:tc>
        <w:tc>
          <w:tcPr>
            <w:tcW w:w="338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区住房和城乡建设管理局</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8</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1813.48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8</w:t>
            </w:r>
          </w:p>
        </w:tc>
        <w:tc>
          <w:tcPr>
            <w:tcW w:w="338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区气象局</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178.00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9</w:t>
            </w:r>
          </w:p>
        </w:tc>
        <w:tc>
          <w:tcPr>
            <w:tcW w:w="338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区财政局</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w:t>
            </w:r>
          </w:p>
        </w:tc>
        <w:tc>
          <w:tcPr>
            <w:tcW w:w="22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 xml:space="preserve">33.50 </w:t>
            </w:r>
          </w:p>
        </w:tc>
      </w:tr>
    </w:tbl>
    <w:p>
      <w:pPr>
        <w:pStyle w:val="15"/>
        <w:rPr>
          <w:rFonts w:hint="eastAsia"/>
          <w:lang w:val="en-US" w:eastAsia="zh-CN"/>
        </w:rPr>
      </w:pPr>
    </w:p>
    <w:p>
      <w:pPr>
        <w:ind w:firstLine="640" w:firstLineChars="200"/>
        <w:rPr>
          <w:rFonts w:hint="eastAsia" w:eastAsia="仿宋_GB2312"/>
          <w:sz w:val="32"/>
          <w:lang w:val="en-US" w:eastAsia="zh-CN"/>
        </w:rPr>
      </w:pPr>
      <w:r>
        <w:rPr>
          <w:rFonts w:hint="eastAsia" w:eastAsia="仿宋_GB2312"/>
          <w:b w:val="0"/>
          <w:bCs w:val="0"/>
          <w:sz w:val="32"/>
          <w:lang w:val="en-US" w:eastAsia="zh-CN"/>
        </w:rPr>
        <w:t>曲江区2023年度</w:t>
      </w:r>
      <w:r>
        <w:rPr>
          <w:rFonts w:hint="eastAsia" w:ascii="仿宋_GB2312" w:hAnsi="仿宋_GB2312" w:eastAsia="仿宋_GB2312" w:cs="仿宋_GB2312"/>
          <w:b w:val="0"/>
          <w:bCs w:val="0"/>
          <w:sz w:val="32"/>
          <w:szCs w:val="32"/>
          <w:lang w:val="en-US" w:eastAsia="zh-CN"/>
        </w:rPr>
        <w:t>省级涉农统筹整合转移支付资金的分配，</w:t>
      </w:r>
      <w:r>
        <w:rPr>
          <w:rFonts w:hint="eastAsia" w:eastAsia="仿宋_GB2312"/>
          <w:b w:val="0"/>
          <w:bCs w:val="0"/>
          <w:sz w:val="32"/>
        </w:rPr>
        <w:t>一是</w:t>
      </w:r>
      <w:r>
        <w:rPr>
          <w:rFonts w:hint="eastAsia" w:ascii="仿宋_GB2312" w:hAnsi="仿宋_GB2312" w:eastAsia="仿宋_GB2312" w:cs="仿宋_GB2312"/>
          <w:kern w:val="2"/>
          <w:sz w:val="32"/>
          <w:highlight w:val="none"/>
          <w:lang w:val="en-US" w:eastAsia="zh-CN"/>
        </w:rPr>
        <w:t>依照“集中财力办大事”的原则</w:t>
      </w:r>
      <w:r>
        <w:rPr>
          <w:rFonts w:hint="eastAsia" w:eastAsia="仿宋_GB2312"/>
          <w:b w:val="0"/>
          <w:bCs w:val="0"/>
          <w:sz w:val="32"/>
          <w:lang w:eastAsia="zh-CN"/>
        </w:rPr>
        <w:t>；</w:t>
      </w:r>
      <w:r>
        <w:rPr>
          <w:rFonts w:hint="eastAsia" w:eastAsia="仿宋_GB2312"/>
          <w:b w:val="0"/>
          <w:bCs w:val="0"/>
          <w:sz w:val="32"/>
          <w:lang w:val="en-US" w:eastAsia="zh-CN"/>
        </w:rPr>
        <w:t>二是</w:t>
      </w:r>
      <w:r>
        <w:rPr>
          <w:rFonts w:hint="eastAsia" w:eastAsia="仿宋_GB2312"/>
          <w:b w:val="0"/>
          <w:bCs w:val="0"/>
          <w:sz w:val="32"/>
        </w:rPr>
        <w:t>优</w:t>
      </w:r>
      <w:r>
        <w:rPr>
          <w:rFonts w:hint="eastAsia" w:eastAsia="仿宋_GB2312"/>
          <w:sz w:val="32"/>
        </w:rPr>
        <w:t>先保障2023年涉农资金优先支持的考核工作任务</w:t>
      </w:r>
      <w:r>
        <w:rPr>
          <w:rFonts w:hint="eastAsia" w:eastAsia="仿宋_GB2312"/>
          <w:sz w:val="32"/>
          <w:lang w:val="en-US" w:eastAsia="zh-CN"/>
        </w:rPr>
        <w:t>完成</w:t>
      </w:r>
      <w:r>
        <w:rPr>
          <w:rFonts w:hint="eastAsia" w:eastAsia="仿宋_GB2312"/>
          <w:sz w:val="32"/>
          <w:lang w:eastAsia="zh-CN"/>
        </w:rPr>
        <w:t>；</w:t>
      </w:r>
      <w:r>
        <w:rPr>
          <w:rFonts w:hint="eastAsia" w:eastAsia="仿宋_GB2312"/>
          <w:sz w:val="32"/>
          <w:lang w:val="en-US" w:eastAsia="zh-CN"/>
        </w:rPr>
        <w:t>三是着力于解决本地区乡村振兴的短板弱项；四是在项目实施过程中，根据实际情况和项目需求，对项目和资金的安排进行调整，确保</w:t>
      </w:r>
      <w:r>
        <w:rPr>
          <w:rFonts w:hint="eastAsia" w:eastAsia="仿宋_GB2312"/>
          <w:sz w:val="32"/>
        </w:rPr>
        <w:t>资金的使用效率</w:t>
      </w:r>
      <w:r>
        <w:rPr>
          <w:rFonts w:hint="eastAsia" w:eastAsia="仿宋_GB2312"/>
          <w:sz w:val="32"/>
          <w:lang w:eastAsia="zh-CN"/>
        </w:rPr>
        <w:t>。</w:t>
      </w:r>
    </w:p>
    <w:p>
      <w:pPr>
        <w:ind w:firstLine="640" w:firstLineChars="200"/>
        <w:rPr>
          <w:rFonts w:eastAsia="仿宋_GB2312"/>
          <w:sz w:val="32"/>
        </w:rPr>
      </w:pPr>
      <w:r>
        <w:rPr>
          <w:rFonts w:hint="eastAsia" w:eastAsia="仿宋_GB2312"/>
          <w:b w:val="0"/>
          <w:bCs w:val="0"/>
          <w:sz w:val="32"/>
          <w:lang w:val="en-US" w:eastAsia="zh-CN"/>
        </w:rPr>
        <w:t>曲江区2023年度</w:t>
      </w:r>
      <w:r>
        <w:rPr>
          <w:rFonts w:hint="eastAsia" w:ascii="仿宋_GB2312" w:hAnsi="仿宋_GB2312" w:eastAsia="仿宋_GB2312" w:cs="仿宋_GB2312"/>
          <w:b w:val="0"/>
          <w:bCs w:val="0"/>
          <w:sz w:val="32"/>
          <w:szCs w:val="32"/>
          <w:lang w:val="en-US" w:eastAsia="zh-CN"/>
        </w:rPr>
        <w:t>省级涉农统筹整合转移支付资金的分配合理。</w:t>
      </w:r>
    </w:p>
    <w:p>
      <w:pPr>
        <w:spacing w:line="360" w:lineRule="auto"/>
        <w:ind w:firstLine="642" w:firstLineChars="200"/>
        <w:outlineLvl w:val="1"/>
        <w:rPr>
          <w:rFonts w:ascii="Times New Roman" w:hAnsi="Times New Roman" w:eastAsia="楷体_GB2312" w:cs="Times New Roman"/>
          <w:b/>
          <w:bCs/>
          <w:sz w:val="32"/>
          <w:szCs w:val="32"/>
        </w:rPr>
      </w:pPr>
      <w:bookmarkStart w:id="20" w:name="_Toc96960257"/>
      <w:r>
        <w:rPr>
          <w:rFonts w:hint="eastAsia" w:ascii="Times New Roman" w:hAnsi="Times New Roman" w:eastAsia="楷体_GB2312" w:cs="Times New Roman"/>
          <w:b/>
          <w:bCs/>
          <w:sz w:val="32"/>
          <w:szCs w:val="32"/>
        </w:rPr>
        <w:t>（二）管理</w:t>
      </w:r>
      <w:bookmarkEnd w:id="20"/>
    </w:p>
    <w:p>
      <w:pPr>
        <w:spacing w:line="360" w:lineRule="auto"/>
        <w:ind w:firstLine="642" w:firstLineChars="200"/>
        <w:rPr>
          <w:rFonts w:ascii="仿宋_GB2312" w:hAnsi="宋体" w:eastAsia="仿宋_GB2312"/>
          <w:b/>
          <w:sz w:val="32"/>
          <w:szCs w:val="32"/>
        </w:rPr>
      </w:pPr>
      <w:r>
        <w:rPr>
          <w:rFonts w:hint="eastAsia" w:ascii="仿宋_GB2312" w:eastAsia="仿宋_GB2312"/>
          <w:b/>
          <w:sz w:val="32"/>
          <w:szCs w:val="32"/>
        </w:rPr>
        <w:t>1.资金管理。</w:t>
      </w:r>
    </w:p>
    <w:p>
      <w:pPr>
        <w:pStyle w:val="16"/>
        <w:ind w:firstLine="640" w:firstLineChars="200"/>
        <w:rPr>
          <w:rFonts w:ascii="仿宋_GB2312" w:eastAsia="仿宋_GB2312"/>
          <w:sz w:val="32"/>
          <w:szCs w:val="32"/>
        </w:rPr>
      </w:pPr>
      <w:r>
        <w:rPr>
          <w:rFonts w:hint="eastAsia" w:ascii="仿宋_GB2312" w:eastAsia="仿宋_GB2312"/>
          <w:sz w:val="32"/>
          <w:szCs w:val="32"/>
        </w:rPr>
        <w:t>（1）资金支付。</w:t>
      </w:r>
    </w:p>
    <w:p>
      <w:p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rPr>
        <w:t>该指标</w:t>
      </w:r>
      <w:r>
        <w:rPr>
          <w:rFonts w:hint="eastAsia" w:ascii="仿宋_GB2312" w:hAnsi="仿宋_GB2312" w:eastAsia="仿宋_GB2312" w:cs="仿宋_GB2312"/>
          <w:b w:val="0"/>
          <w:bCs w:val="0"/>
          <w:sz w:val="32"/>
          <w:lang w:val="en-US" w:eastAsia="zh-CN"/>
        </w:rPr>
        <w:t>分值6分，根据评分标准结合实际情况，</w:t>
      </w:r>
      <w:r>
        <w:rPr>
          <w:rFonts w:hint="eastAsia" w:ascii="仿宋_GB2312" w:hAnsi="仿宋_GB2312" w:eastAsia="仿宋_GB2312" w:cs="仿宋_GB2312"/>
          <w:b w:val="0"/>
          <w:bCs w:val="0"/>
          <w:sz w:val="32"/>
        </w:rPr>
        <w:t>扣</w:t>
      </w:r>
      <w:r>
        <w:rPr>
          <w:rFonts w:hint="eastAsia" w:ascii="仿宋_GB2312" w:hAnsi="仿宋_GB2312" w:eastAsia="仿宋_GB2312" w:cs="仿宋_GB2312"/>
          <w:b w:val="0"/>
          <w:bCs w:val="0"/>
          <w:sz w:val="32"/>
          <w:lang w:val="en-US" w:eastAsia="zh-CN"/>
        </w:rPr>
        <w:t>3</w:t>
      </w:r>
      <w:r>
        <w:rPr>
          <w:rFonts w:hint="eastAsia" w:ascii="仿宋_GB2312" w:hAnsi="仿宋_GB2312" w:eastAsia="仿宋_GB2312" w:cs="仿宋_GB2312"/>
          <w:b w:val="0"/>
          <w:bCs w:val="0"/>
          <w:sz w:val="32"/>
        </w:rPr>
        <w:t>分</w:t>
      </w:r>
      <w:r>
        <w:rPr>
          <w:rFonts w:hint="eastAsia" w:ascii="仿宋_GB2312" w:hAnsi="仿宋_GB2312" w:eastAsia="仿宋_GB2312" w:cs="仿宋_GB2312"/>
          <w:b w:val="0"/>
          <w:bCs w:val="0"/>
          <w:sz w:val="32"/>
          <w:lang w:eastAsia="zh-CN"/>
        </w:rPr>
        <w:t>，</w:t>
      </w:r>
      <w:r>
        <w:rPr>
          <w:rFonts w:hint="eastAsia" w:ascii="仿宋_GB2312" w:hAnsi="仿宋_GB2312" w:eastAsia="仿宋_GB2312" w:cs="仿宋_GB2312"/>
          <w:b w:val="0"/>
          <w:bCs w:val="0"/>
          <w:sz w:val="32"/>
          <w:lang w:val="en-US" w:eastAsia="zh-CN"/>
        </w:rPr>
        <w:t>得3分</w:t>
      </w:r>
      <w:r>
        <w:rPr>
          <w:rFonts w:hint="eastAsia" w:ascii="仿宋_GB2312" w:hAnsi="仿宋_GB2312" w:eastAsia="仿宋_GB2312" w:cs="仿宋_GB2312"/>
          <w:b w:val="0"/>
          <w:bCs w:val="0"/>
          <w:sz w:val="32"/>
        </w:rPr>
        <w:t>。</w:t>
      </w:r>
    </w:p>
    <w:p>
      <w:pPr>
        <w:ind w:firstLine="640" w:firstLineChars="200"/>
        <w:rPr>
          <w:rFonts w:hint="eastAsia" w:ascii="仿宋_GB2312" w:eastAsia="仿宋_GB2312"/>
          <w:sz w:val="32"/>
          <w:lang w:eastAsia="zh-CN"/>
        </w:rPr>
      </w:pPr>
      <w:r>
        <w:rPr>
          <w:rFonts w:hint="eastAsia" w:ascii="仿宋_GB2312" w:hAnsi="仿宋_GB2312" w:eastAsia="仿宋_GB2312" w:cs="仿宋_GB2312"/>
          <w:b w:val="0"/>
          <w:bCs w:val="0"/>
          <w:sz w:val="32"/>
          <w:szCs w:val="32"/>
          <w:lang w:val="en-US" w:eastAsia="zh-CN"/>
        </w:rPr>
        <w:t>2023年韶关市曲江区省级涉农统筹整合转移支付资金总额20,728.05万元</w:t>
      </w:r>
      <w:r>
        <w:rPr>
          <w:rFonts w:hint="eastAsia" w:ascii="仿宋_GB2312" w:eastAsia="仿宋_GB2312"/>
          <w:sz w:val="32"/>
        </w:rPr>
        <w:t>，截至</w:t>
      </w:r>
      <w:r>
        <w:rPr>
          <w:rFonts w:hint="eastAsia" w:ascii="仿宋_GB2312" w:eastAsia="仿宋_GB2312"/>
          <w:sz w:val="32"/>
          <w:lang w:eastAsia="zh-CN"/>
        </w:rPr>
        <w:t>2023</w:t>
      </w:r>
      <w:r>
        <w:rPr>
          <w:rFonts w:hint="eastAsia" w:ascii="仿宋_GB2312" w:eastAsia="仿宋_GB2312"/>
          <w:sz w:val="32"/>
        </w:rPr>
        <w:t>年1</w:t>
      </w:r>
      <w:r>
        <w:rPr>
          <w:rFonts w:ascii="仿宋_GB2312" w:eastAsia="仿宋_GB2312"/>
          <w:sz w:val="32"/>
        </w:rPr>
        <w:t>2</w:t>
      </w:r>
      <w:r>
        <w:rPr>
          <w:rFonts w:hint="eastAsia" w:ascii="仿宋_GB2312" w:eastAsia="仿宋_GB2312"/>
          <w:sz w:val="32"/>
        </w:rPr>
        <w:t>月3</w:t>
      </w:r>
      <w:r>
        <w:rPr>
          <w:rFonts w:ascii="仿宋_GB2312" w:eastAsia="仿宋_GB2312"/>
          <w:sz w:val="32"/>
        </w:rPr>
        <w:t>1</w:t>
      </w:r>
      <w:r>
        <w:rPr>
          <w:rFonts w:hint="eastAsia" w:ascii="仿宋_GB2312" w:eastAsia="仿宋_GB2312"/>
          <w:sz w:val="32"/>
        </w:rPr>
        <w:t>日，实际支出</w:t>
      </w:r>
      <w:r>
        <w:rPr>
          <w:rFonts w:hint="eastAsia" w:ascii="仿宋_GB2312" w:hAnsi="仿宋_GB2312" w:eastAsia="仿宋_GB2312" w:cs="仿宋_GB2312"/>
          <w:sz w:val="32"/>
          <w:szCs w:val="32"/>
          <w:highlight w:val="none"/>
          <w:lang w:val="en-US" w:eastAsia="zh-CN"/>
        </w:rPr>
        <w:t>1,476.66</w:t>
      </w:r>
      <w:r>
        <w:rPr>
          <w:rFonts w:hint="eastAsia" w:ascii="仿宋_GB2312" w:eastAsia="仿宋_GB2312"/>
          <w:sz w:val="32"/>
        </w:rPr>
        <w:t>万元，资金支出率为</w:t>
      </w:r>
      <w:r>
        <w:rPr>
          <w:rFonts w:hint="eastAsia" w:ascii="仿宋_GB2312" w:eastAsia="仿宋_GB2312"/>
          <w:sz w:val="32"/>
          <w:lang w:val="en-US" w:eastAsia="zh-CN"/>
        </w:rPr>
        <w:t>7.12</w:t>
      </w:r>
      <w:r>
        <w:rPr>
          <w:rFonts w:hint="eastAsia" w:ascii="仿宋_GB2312" w:eastAsia="仿宋_GB2312"/>
          <w:sz w:val="32"/>
        </w:rPr>
        <w:t>%，详见表</w:t>
      </w:r>
      <w:r>
        <w:rPr>
          <w:rFonts w:hint="eastAsia" w:ascii="仿宋_GB2312" w:eastAsia="仿宋_GB2312"/>
          <w:sz w:val="32"/>
          <w:lang w:val="en-US" w:eastAsia="zh-CN"/>
        </w:rPr>
        <w:t>3-3</w:t>
      </w:r>
      <w:r>
        <w:rPr>
          <w:rFonts w:hint="eastAsia" w:ascii="仿宋_GB2312" w:eastAsia="仿宋_GB2312"/>
          <w:sz w:val="32"/>
          <w:lang w:eastAsia="zh-CN"/>
        </w:rPr>
        <w:t>：</w:t>
      </w:r>
    </w:p>
    <w:p>
      <w:pPr>
        <w:pStyle w:val="18"/>
        <w:jc w:val="center"/>
      </w:pPr>
      <w:r>
        <w:rPr>
          <w:rFonts w:hint="eastAsia" w:ascii="黑体" w:hAnsi="黑体" w:eastAsia="黑体" w:cs="Times New Roman"/>
          <w:kern w:val="2"/>
          <w:sz w:val="28"/>
          <w:szCs w:val="28"/>
        </w:rPr>
        <w:t>表</w:t>
      </w:r>
      <w:r>
        <w:rPr>
          <w:rFonts w:hint="eastAsia" w:ascii="黑体" w:hAnsi="黑体" w:eastAsia="黑体" w:cs="Times New Roman"/>
          <w:kern w:val="2"/>
          <w:sz w:val="28"/>
          <w:szCs w:val="28"/>
          <w:lang w:val="en-US" w:eastAsia="zh-CN"/>
        </w:rPr>
        <w:t>3-3</w:t>
      </w:r>
      <w:r>
        <w:rPr>
          <w:rFonts w:hint="eastAsia" w:ascii="黑体" w:hAnsi="黑体" w:eastAsia="黑体" w:cs="Times New Roman"/>
          <w:kern w:val="2"/>
          <w:sz w:val="28"/>
          <w:szCs w:val="28"/>
        </w:rPr>
        <w:t xml:space="preserve">  曲江区</w:t>
      </w:r>
      <w:r>
        <w:rPr>
          <w:rFonts w:hint="eastAsia" w:ascii="黑体" w:hAnsi="黑体" w:eastAsia="黑体" w:cs="Times New Roman"/>
          <w:kern w:val="2"/>
          <w:sz w:val="28"/>
          <w:szCs w:val="28"/>
          <w:lang w:eastAsia="zh-CN"/>
        </w:rPr>
        <w:t>2023</w:t>
      </w:r>
      <w:r>
        <w:rPr>
          <w:rFonts w:hint="eastAsia" w:ascii="黑体" w:hAnsi="黑体" w:eastAsia="黑体" w:cs="Times New Roman"/>
          <w:kern w:val="2"/>
          <w:sz w:val="28"/>
          <w:szCs w:val="28"/>
        </w:rPr>
        <w:t>年</w:t>
      </w:r>
      <w:r>
        <w:rPr>
          <w:rFonts w:hint="eastAsia" w:ascii="黑体" w:hAnsi="黑体" w:eastAsia="黑体" w:cs="Times New Roman"/>
          <w:kern w:val="2"/>
          <w:sz w:val="28"/>
          <w:szCs w:val="28"/>
          <w:lang w:val="en-US" w:eastAsia="zh-CN"/>
        </w:rPr>
        <w:t>度</w:t>
      </w:r>
      <w:r>
        <w:rPr>
          <w:rFonts w:hint="eastAsia" w:ascii="黑体" w:hAnsi="黑体" w:eastAsia="黑体" w:cs="Times New Roman"/>
          <w:kern w:val="2"/>
          <w:sz w:val="28"/>
          <w:szCs w:val="28"/>
        </w:rPr>
        <w:t>涉农资金支出情况表</w:t>
      </w:r>
    </w:p>
    <w:tbl>
      <w:tblPr>
        <w:tblStyle w:val="12"/>
        <w:tblW w:w="862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1"/>
        <w:gridCol w:w="1136"/>
        <w:gridCol w:w="2408"/>
        <w:gridCol w:w="1174"/>
        <w:gridCol w:w="1249"/>
        <w:gridCol w:w="1108"/>
        <w:gridCol w:w="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序号</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区主管单位</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一级项目</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安排项目数（个）</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安排金额（万元）</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支付金额（万元）</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支出率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0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曲江区合计</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103</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20728.05</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1476.67</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7.12%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24"/>
                <w:szCs w:val="24"/>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区农业农村局小计</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27</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 xml:space="preserve">8883.55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 xml:space="preserve">521.82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5.87%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11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农业农村局</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推进农业绿色发展</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1108.50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28.58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2.58%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动植物疫病防控</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62.00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6.07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9.79%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农田建设与管护</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4688.05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40.00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0.85%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村庄基础设施建设</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330.67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5.00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1.51%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农业生产能力提升</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885.00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0.00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农村生活污水治理</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285.00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0.00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畜牧业转型升级</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26.00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0.00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政策性农业保险省级财政保费补贴</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754.83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407.80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54.02%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构建现代乡村产业体系</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228.50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12.00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5.25%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农产品质量安全</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55.00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22.38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40.69%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16</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驻镇帮镇扶村（提升产业发展水平）</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460.00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0.00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24"/>
                <w:szCs w:val="24"/>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区水务局小计</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17</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 xml:space="preserve">3703.74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 xml:space="preserve">167.00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4.51%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17</w:t>
            </w:r>
          </w:p>
        </w:tc>
        <w:tc>
          <w:tcPr>
            <w:tcW w:w="11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水务局</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全面推进河长制湖长制</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360.00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5.00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1.39%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18</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农村水利水电</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108.00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12.00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11.11%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19</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水利安全度汛</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1087.81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20.00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1.84%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水利工程运行管护</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388.40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10.00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2.57%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21</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水库移民后期扶持</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50.50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10.00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19.80%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22</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农村集中供水</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132.74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5.00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3.77%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23</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水土保持</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27.30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5.00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18.32%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24</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病险水库水闸除险加固</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1549.00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100.00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6.46%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24"/>
                <w:szCs w:val="24"/>
                <w:u w:val="none"/>
              </w:rPr>
            </w:pP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区自然资源局小计</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13</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 xml:space="preserve">1793.00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 xml:space="preserve">107.13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5.97%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25</w:t>
            </w:r>
          </w:p>
        </w:tc>
        <w:tc>
          <w:tcPr>
            <w:tcW w:w="11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自然资源局</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食用林产品质量安全</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3.55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3.55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26</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永久基本农田保护</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427.00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5.00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1.17%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27</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林业有害生物防控</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464.20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31.41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6.77%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29</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造林与生态修复</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654.77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16.11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2.46%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32</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森林资源保护与监测</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40.00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5.00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12.50%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33</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政策性森林保险省级财政保费补贴</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140.00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41.06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29.33%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34</w:t>
            </w:r>
          </w:p>
        </w:tc>
        <w:tc>
          <w:tcPr>
            <w:tcW w:w="11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4"/>
                <w:szCs w:val="24"/>
                <w:u w:val="none"/>
              </w:rPr>
            </w:pP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林业产业发展</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63.48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5.00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7.88%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35</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交通运输局</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四好农村路</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31</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3536.78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340.56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9.63%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40</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区卫生健康局</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驻镇帮镇扶村（提升镇域公共服务能力）</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688.00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4.03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43</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文化广电旅游体育局</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驻镇帮镇扶村（提升镇域公共服务能力）</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98.00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0.00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45</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住房和城乡建设管理局</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驻镇帮镇扶村（提升镇村公共基础设施水平）</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8</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1813.48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302.62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16.69%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46</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气象局</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驻镇帮镇扶村（提升镇域公共服务能力）</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178.00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0.00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47</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财政局</w:t>
            </w:r>
          </w:p>
        </w:tc>
        <w:tc>
          <w:tcPr>
            <w:tcW w:w="24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工作经费</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2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33.50 </w:t>
            </w: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 xml:space="preserve">33.50 </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w:t>
            </w:r>
          </w:p>
        </w:tc>
      </w:tr>
    </w:tbl>
    <w:p>
      <w:pPr>
        <w:pStyle w:val="18"/>
        <w:ind w:firstLine="640" w:firstLineChars="20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支出率较低的原因主要是2023年整体经济低迷，财政收入骤减不及预期，财政收支紧张，“三保”面临较大压力，导致项目款项无法在当年度支出；其次是个别项目前期工作不够充分，项目实施进度滞后于计划</w:t>
      </w:r>
      <w:r>
        <w:rPr>
          <w:rFonts w:hint="eastAsia" w:ascii="仿宋_GB2312" w:hAnsi="仿宋_GB2312" w:eastAsia="仿宋_GB2312" w:cs="仿宋_GB2312"/>
          <w:b w:val="0"/>
          <w:bCs w:val="0"/>
          <w:sz w:val="32"/>
          <w:szCs w:val="32"/>
          <w:highlight w:val="none"/>
          <w:lang w:val="en-US" w:eastAsia="zh-CN"/>
        </w:rPr>
        <w:t>。</w:t>
      </w:r>
    </w:p>
    <w:p>
      <w:pPr>
        <w:pStyle w:val="16"/>
        <w:ind w:firstLine="640" w:firstLineChars="200"/>
        <w:rPr>
          <w:rFonts w:ascii="仿宋_GB2312" w:eastAsia="仿宋_GB2312"/>
          <w:sz w:val="32"/>
          <w:szCs w:val="32"/>
        </w:rPr>
      </w:pPr>
      <w:r>
        <w:rPr>
          <w:rFonts w:hint="eastAsia" w:ascii="仿宋_GB2312" w:eastAsia="仿宋_GB2312"/>
          <w:sz w:val="32"/>
          <w:szCs w:val="32"/>
        </w:rPr>
        <w:t>（2）支出规范性。</w:t>
      </w:r>
    </w:p>
    <w:p>
      <w:pPr>
        <w:ind w:firstLine="640" w:firstLineChars="200"/>
        <w:rPr>
          <w:rFonts w:hint="eastAsia" w:ascii="仿宋_GB2312" w:hAnsi="仿宋_GB2312" w:eastAsia="仿宋_GB2312" w:cs="仿宋_GB2312"/>
          <w:b w:val="0"/>
          <w:bCs w:val="0"/>
          <w:sz w:val="32"/>
          <w:lang w:val="en-US" w:eastAsia="zh-CN"/>
        </w:rPr>
      </w:pPr>
      <w:r>
        <w:rPr>
          <w:rFonts w:hint="eastAsia" w:ascii="仿宋_GB2312" w:hAnsi="仿宋_GB2312" w:eastAsia="仿宋_GB2312" w:cs="仿宋_GB2312"/>
          <w:b w:val="0"/>
          <w:bCs w:val="0"/>
          <w:sz w:val="32"/>
        </w:rPr>
        <w:t>该指标</w:t>
      </w:r>
      <w:r>
        <w:rPr>
          <w:rFonts w:hint="eastAsia" w:ascii="仿宋_GB2312" w:hAnsi="仿宋_GB2312" w:eastAsia="仿宋_GB2312" w:cs="仿宋_GB2312"/>
          <w:b w:val="0"/>
          <w:bCs w:val="0"/>
          <w:sz w:val="32"/>
          <w:lang w:val="en-US" w:eastAsia="zh-CN"/>
        </w:rPr>
        <w:t>分值6分，</w:t>
      </w:r>
      <w:r>
        <w:rPr>
          <w:rFonts w:hint="eastAsia" w:ascii="仿宋_GB2312" w:hAnsi="仿宋_GB2312" w:eastAsia="仿宋_GB2312" w:cs="仿宋_GB2312"/>
          <w:b w:val="0"/>
          <w:bCs w:val="0"/>
          <w:sz w:val="32"/>
        </w:rPr>
        <w:t>不扣分</w:t>
      </w:r>
      <w:r>
        <w:rPr>
          <w:rFonts w:hint="eastAsia" w:ascii="仿宋_GB2312" w:hAnsi="仿宋_GB2312" w:eastAsia="仿宋_GB2312" w:cs="仿宋_GB2312"/>
          <w:b w:val="0"/>
          <w:bCs w:val="0"/>
          <w:sz w:val="32"/>
          <w:lang w:eastAsia="zh-CN"/>
        </w:rPr>
        <w:t>，</w:t>
      </w:r>
      <w:r>
        <w:rPr>
          <w:rFonts w:hint="eastAsia" w:ascii="仿宋_GB2312" w:hAnsi="仿宋_GB2312" w:eastAsia="仿宋_GB2312" w:cs="仿宋_GB2312"/>
          <w:b w:val="0"/>
          <w:bCs w:val="0"/>
          <w:sz w:val="32"/>
          <w:lang w:val="en-US" w:eastAsia="zh-CN"/>
        </w:rPr>
        <w:t>得6分</w:t>
      </w:r>
      <w:r>
        <w:rPr>
          <w:rFonts w:hint="eastAsia" w:ascii="仿宋_GB2312" w:hAnsi="仿宋_GB2312" w:eastAsia="仿宋_GB2312" w:cs="仿宋_GB2312"/>
          <w:b w:val="0"/>
          <w:bCs w:val="0"/>
          <w:sz w:val="32"/>
        </w:rPr>
        <w:t>。</w:t>
      </w:r>
    </w:p>
    <w:p>
      <w:pPr>
        <w:ind w:firstLine="640" w:firstLineChars="200"/>
        <w:rPr>
          <w:rFonts w:hint="eastAsia" w:ascii="仿宋_GB2312" w:hAnsi="仿宋_GB2312" w:eastAsia="仿宋_GB2312" w:cs="仿宋_GB2312"/>
          <w:b w:val="0"/>
          <w:bCs w:val="0"/>
          <w:sz w:val="32"/>
          <w:lang w:val="en-US" w:eastAsia="zh-CN"/>
        </w:rPr>
      </w:pPr>
      <w:r>
        <w:rPr>
          <w:rFonts w:hint="eastAsia" w:ascii="仿宋_GB2312" w:hAnsi="仿宋_GB2312" w:eastAsia="仿宋_GB2312" w:cs="仿宋_GB2312"/>
          <w:b w:val="0"/>
          <w:bCs w:val="0"/>
          <w:sz w:val="32"/>
          <w:lang w:val="en-US" w:eastAsia="zh-CN"/>
        </w:rPr>
        <w:t>曲江区</w:t>
      </w:r>
      <w:r>
        <w:rPr>
          <w:rFonts w:hint="eastAsia" w:ascii="仿宋_GB2312" w:eastAsia="仿宋_GB2312"/>
          <w:sz w:val="32"/>
          <w:lang w:val="en-US" w:eastAsia="zh-CN"/>
        </w:rPr>
        <w:t>2023年度</w:t>
      </w:r>
      <w:r>
        <w:rPr>
          <w:rFonts w:hint="eastAsia" w:ascii="仿宋_GB2312" w:hAnsi="仿宋_GB2312" w:eastAsia="仿宋_GB2312" w:cs="仿宋_GB2312"/>
          <w:b w:val="0"/>
          <w:bCs w:val="0"/>
          <w:sz w:val="32"/>
          <w:szCs w:val="32"/>
          <w:lang w:val="en-US" w:eastAsia="zh-CN"/>
        </w:rPr>
        <w:t>省级涉农统筹整合转移支付资金的</w:t>
      </w:r>
      <w:r>
        <w:rPr>
          <w:rFonts w:hint="eastAsia" w:ascii="仿宋_GB2312" w:eastAsia="仿宋_GB2312"/>
          <w:sz w:val="32"/>
          <w:szCs w:val="32"/>
        </w:rPr>
        <w:t>支出规范性</w:t>
      </w:r>
      <w:r>
        <w:rPr>
          <w:rFonts w:hint="eastAsia" w:ascii="仿宋_GB2312" w:eastAsia="仿宋_GB2312"/>
          <w:sz w:val="32"/>
          <w:szCs w:val="32"/>
          <w:lang w:val="en-US" w:eastAsia="zh-CN"/>
        </w:rPr>
        <w:t>较好，主要体现在：</w:t>
      </w:r>
      <w:r>
        <w:rPr>
          <w:rFonts w:hint="eastAsia" w:ascii="仿宋_GB2312" w:hAnsi="仿宋_GB2312" w:eastAsia="仿宋_GB2312" w:cs="仿宋_GB2312"/>
          <w:b w:val="0"/>
          <w:bCs w:val="0"/>
          <w:sz w:val="32"/>
        </w:rPr>
        <w:t>一是</w:t>
      </w:r>
      <w:r>
        <w:rPr>
          <w:rFonts w:hint="eastAsia" w:ascii="仿宋_GB2312" w:hAnsi="仿宋_GB2312" w:eastAsia="仿宋_GB2312" w:cs="仿宋_GB2312"/>
          <w:b w:val="0"/>
          <w:bCs w:val="0"/>
          <w:sz w:val="32"/>
          <w:lang w:val="en-US" w:eastAsia="zh-CN"/>
        </w:rPr>
        <w:t>曲江区</w:t>
      </w:r>
      <w:r>
        <w:rPr>
          <w:rFonts w:hint="eastAsia" w:ascii="仿宋_GB2312" w:eastAsia="仿宋_GB2312"/>
          <w:sz w:val="32"/>
          <w:lang w:val="en-US" w:eastAsia="zh-CN"/>
        </w:rPr>
        <w:t>2023年涉农资金</w:t>
      </w:r>
      <w:r>
        <w:rPr>
          <w:rFonts w:hint="eastAsia" w:ascii="仿宋_GB2312" w:hAnsi="仿宋_GB2312" w:eastAsia="仿宋_GB2312" w:cs="仿宋_GB2312"/>
          <w:b w:val="0"/>
          <w:bCs w:val="0"/>
          <w:sz w:val="32"/>
          <w:lang w:val="en-US" w:eastAsia="zh-CN"/>
        </w:rPr>
        <w:t>项目预算的调整均按照规定履行了规范的程序，经区涉农资金统筹整合工作领导小组集体审议通过，并及时向韶关市涉农办报备。二是各涉农项目单位</w:t>
      </w:r>
      <w:r>
        <w:rPr>
          <w:rFonts w:hint="eastAsia" w:ascii="仿宋_GB2312" w:hAnsi="仿宋_GB2312" w:eastAsia="仿宋_GB2312" w:cs="仿宋_GB2312"/>
          <w:b w:val="0"/>
          <w:bCs w:val="0"/>
          <w:sz w:val="32"/>
        </w:rPr>
        <w:t>均设立了专账</w:t>
      </w:r>
      <w:r>
        <w:rPr>
          <w:rFonts w:hint="eastAsia" w:ascii="仿宋_GB2312" w:hAnsi="仿宋_GB2312" w:eastAsia="仿宋_GB2312" w:cs="仿宋_GB2312"/>
          <w:b w:val="0"/>
          <w:bCs w:val="0"/>
          <w:sz w:val="32"/>
          <w:lang w:val="en-US" w:eastAsia="zh-CN"/>
        </w:rPr>
        <w:t>对涉农资金</w:t>
      </w:r>
      <w:r>
        <w:rPr>
          <w:rFonts w:hint="eastAsia" w:ascii="仿宋_GB2312" w:hAnsi="仿宋_GB2312" w:eastAsia="仿宋_GB2312" w:cs="仿宋_GB2312"/>
          <w:b w:val="0"/>
          <w:bCs w:val="0"/>
          <w:sz w:val="32"/>
        </w:rPr>
        <w:t>进行</w:t>
      </w:r>
      <w:r>
        <w:rPr>
          <w:rFonts w:hint="eastAsia" w:ascii="仿宋_GB2312" w:hAnsi="仿宋_GB2312" w:eastAsia="仿宋_GB2312" w:cs="仿宋_GB2312"/>
          <w:b w:val="0"/>
          <w:bCs w:val="0"/>
          <w:sz w:val="32"/>
          <w:lang w:val="en-US" w:eastAsia="zh-CN"/>
        </w:rPr>
        <w:t>规范的</w:t>
      </w:r>
      <w:r>
        <w:rPr>
          <w:rFonts w:hint="eastAsia" w:ascii="仿宋_GB2312" w:hAnsi="仿宋_GB2312" w:eastAsia="仿宋_GB2312" w:cs="仿宋_GB2312"/>
          <w:b w:val="0"/>
          <w:bCs w:val="0"/>
          <w:sz w:val="32"/>
        </w:rPr>
        <w:t>核算，</w:t>
      </w:r>
      <w:r>
        <w:rPr>
          <w:rFonts w:hint="eastAsia" w:ascii="仿宋_GB2312" w:hAnsi="仿宋_GB2312" w:eastAsia="仿宋_GB2312" w:cs="仿宋_GB2312"/>
          <w:b w:val="0"/>
          <w:bCs w:val="0"/>
          <w:sz w:val="32"/>
          <w:lang w:val="en-US" w:eastAsia="zh-CN"/>
        </w:rPr>
        <w:t>严格</w:t>
      </w:r>
      <w:r>
        <w:rPr>
          <w:rFonts w:hint="eastAsia" w:ascii="仿宋_GB2312" w:hAnsi="仿宋_GB2312" w:eastAsia="仿宋_GB2312" w:cs="仿宋_GB2312"/>
          <w:b w:val="0"/>
          <w:bCs w:val="0"/>
          <w:sz w:val="32"/>
        </w:rPr>
        <w:t>执行</w:t>
      </w:r>
      <w:r>
        <w:rPr>
          <w:rFonts w:hint="eastAsia" w:ascii="仿宋_GB2312" w:hAnsi="仿宋_GB2312" w:eastAsia="仿宋_GB2312" w:cs="仿宋_GB2312"/>
          <w:b w:val="0"/>
          <w:bCs w:val="0"/>
          <w:sz w:val="32"/>
          <w:lang w:val="en-US" w:eastAsia="zh-CN"/>
        </w:rPr>
        <w:t>了</w:t>
      </w:r>
      <w:r>
        <w:rPr>
          <w:rFonts w:hint="eastAsia" w:ascii="仿宋_GB2312" w:hAnsi="仿宋_GB2312" w:eastAsia="仿宋_GB2312" w:cs="仿宋_GB2312"/>
          <w:b w:val="0"/>
          <w:bCs w:val="0"/>
          <w:sz w:val="32"/>
        </w:rPr>
        <w:t>会计核算制度</w:t>
      </w:r>
      <w:r>
        <w:rPr>
          <w:rFonts w:hint="eastAsia" w:ascii="仿宋_GB2312" w:hAnsi="仿宋_GB2312" w:eastAsia="仿宋_GB2312" w:cs="仿宋_GB2312"/>
          <w:b w:val="0"/>
          <w:bCs w:val="0"/>
          <w:sz w:val="32"/>
          <w:lang w:eastAsia="zh-CN"/>
        </w:rPr>
        <w:t>。</w:t>
      </w:r>
      <w:r>
        <w:rPr>
          <w:rFonts w:hint="eastAsia" w:ascii="仿宋_GB2312" w:hAnsi="仿宋_GB2312" w:eastAsia="仿宋_GB2312" w:cs="仿宋_GB2312"/>
          <w:b w:val="0"/>
          <w:bCs w:val="0"/>
          <w:sz w:val="32"/>
          <w:lang w:val="en-US" w:eastAsia="zh-CN"/>
        </w:rPr>
        <w:t>三是涉农</w:t>
      </w:r>
      <w:r>
        <w:rPr>
          <w:rFonts w:hint="eastAsia" w:ascii="仿宋_GB2312" w:hAnsi="仿宋_GB2312" w:eastAsia="仿宋_GB2312" w:cs="仿宋_GB2312"/>
          <w:b w:val="0"/>
          <w:bCs w:val="0"/>
          <w:sz w:val="32"/>
        </w:rPr>
        <w:t>资金管理、费用标准、支付</w:t>
      </w:r>
      <w:r>
        <w:rPr>
          <w:rFonts w:hint="eastAsia" w:ascii="仿宋_GB2312" w:hAnsi="仿宋_GB2312" w:eastAsia="仿宋_GB2312" w:cs="仿宋_GB2312"/>
          <w:b w:val="0"/>
          <w:bCs w:val="0"/>
          <w:sz w:val="32"/>
          <w:lang w:val="en-US" w:eastAsia="zh-CN"/>
        </w:rPr>
        <w:t>程序</w:t>
      </w:r>
      <w:r>
        <w:rPr>
          <w:rFonts w:hint="eastAsia" w:ascii="仿宋_GB2312" w:hAnsi="仿宋_GB2312" w:eastAsia="仿宋_GB2312" w:cs="仿宋_GB2312"/>
          <w:b w:val="0"/>
          <w:bCs w:val="0"/>
          <w:sz w:val="32"/>
        </w:rPr>
        <w:t>等</w:t>
      </w:r>
      <w:r>
        <w:rPr>
          <w:rFonts w:hint="eastAsia" w:ascii="仿宋_GB2312" w:hAnsi="仿宋_GB2312" w:eastAsia="仿宋_GB2312" w:cs="仿宋_GB2312"/>
          <w:b w:val="0"/>
          <w:bCs w:val="0"/>
          <w:sz w:val="32"/>
          <w:lang w:val="en-US" w:eastAsia="zh-CN"/>
        </w:rPr>
        <w:t>均严格</w:t>
      </w:r>
      <w:r>
        <w:rPr>
          <w:rFonts w:hint="eastAsia" w:ascii="仿宋_GB2312" w:hAnsi="仿宋_GB2312" w:eastAsia="仿宋_GB2312" w:cs="仿宋_GB2312"/>
          <w:b w:val="0"/>
          <w:bCs w:val="0"/>
          <w:sz w:val="32"/>
        </w:rPr>
        <w:t>按照</w:t>
      </w:r>
      <w:r>
        <w:rPr>
          <w:rFonts w:hint="eastAsia" w:ascii="仿宋_GB2312" w:hAnsi="仿宋_GB2312" w:eastAsia="仿宋_GB2312" w:cs="仿宋_GB2312"/>
          <w:b w:val="0"/>
          <w:bCs w:val="0"/>
          <w:sz w:val="32"/>
          <w:lang w:val="en-US" w:eastAsia="zh-CN"/>
        </w:rPr>
        <w:t>省、市、区印发的涉农资金管理办法及各行业部门的管理制度</w:t>
      </w:r>
      <w:r>
        <w:rPr>
          <w:rFonts w:hint="eastAsia" w:ascii="仿宋_GB2312" w:eastAsia="仿宋_GB2312"/>
          <w:sz w:val="32"/>
          <w:szCs w:val="32"/>
          <w:lang w:val="en-US" w:eastAsia="zh-CN"/>
        </w:rPr>
        <w:t>执行</w:t>
      </w:r>
      <w:r>
        <w:rPr>
          <w:rFonts w:hint="eastAsia" w:ascii="仿宋_GB2312" w:hAnsi="仿宋_GB2312" w:eastAsia="仿宋_GB2312" w:cs="仿宋_GB2312"/>
          <w:b w:val="0"/>
          <w:bCs w:val="0"/>
          <w:sz w:val="32"/>
        </w:rPr>
        <w:t>，</w:t>
      </w:r>
      <w:r>
        <w:rPr>
          <w:rFonts w:hint="eastAsia" w:ascii="仿宋_GB2312" w:hAnsi="仿宋_GB2312" w:eastAsia="仿宋_GB2312" w:cs="仿宋_GB2312"/>
          <w:b w:val="0"/>
          <w:bCs w:val="0"/>
          <w:sz w:val="32"/>
          <w:lang w:val="en-US" w:eastAsia="zh-CN"/>
        </w:rPr>
        <w:t>在本次绩效评价过程中未</w:t>
      </w:r>
      <w:r>
        <w:rPr>
          <w:rFonts w:hint="eastAsia" w:ascii="仿宋_GB2312" w:hAnsi="仿宋_GB2312" w:eastAsia="仿宋_GB2312" w:cs="仿宋_GB2312"/>
          <w:b w:val="0"/>
          <w:bCs w:val="0"/>
          <w:sz w:val="32"/>
        </w:rPr>
        <w:t>发现超范围、超标准、虚列支出</w:t>
      </w:r>
      <w:r>
        <w:rPr>
          <w:rFonts w:hint="eastAsia" w:ascii="仿宋_GB2312" w:hAnsi="仿宋_GB2312" w:eastAsia="仿宋_GB2312" w:cs="仿宋_GB2312"/>
          <w:b w:val="0"/>
          <w:bCs w:val="0"/>
          <w:sz w:val="32"/>
          <w:lang w:eastAsia="zh-CN"/>
        </w:rPr>
        <w:t>，</w:t>
      </w:r>
      <w:r>
        <w:rPr>
          <w:rFonts w:hint="eastAsia" w:ascii="仿宋_GB2312" w:hAnsi="仿宋_GB2312" w:eastAsia="仿宋_GB2312" w:cs="仿宋_GB2312"/>
          <w:b w:val="0"/>
          <w:bCs w:val="0"/>
          <w:sz w:val="32"/>
          <w:lang w:val="en-US" w:eastAsia="zh-CN"/>
        </w:rPr>
        <w:t>亦</w:t>
      </w:r>
      <w:r>
        <w:rPr>
          <w:rFonts w:hint="eastAsia" w:ascii="仿宋_GB2312" w:hAnsi="仿宋_GB2312" w:eastAsia="仿宋_GB2312" w:cs="仿宋_GB2312"/>
          <w:b w:val="0"/>
          <w:bCs w:val="0"/>
          <w:sz w:val="32"/>
        </w:rPr>
        <w:t>未发现截留、挤占、挪用资金</w:t>
      </w:r>
      <w:r>
        <w:rPr>
          <w:rFonts w:hint="eastAsia" w:ascii="仿宋_GB2312" w:hAnsi="仿宋_GB2312" w:eastAsia="仿宋_GB2312" w:cs="仿宋_GB2312"/>
          <w:b w:val="0"/>
          <w:bCs w:val="0"/>
          <w:sz w:val="32"/>
          <w:lang w:val="en-US" w:eastAsia="zh-CN"/>
        </w:rPr>
        <w:t>等违规</w:t>
      </w:r>
      <w:r>
        <w:rPr>
          <w:rFonts w:hint="eastAsia" w:ascii="仿宋_GB2312" w:hAnsi="仿宋_GB2312" w:eastAsia="仿宋_GB2312" w:cs="仿宋_GB2312"/>
          <w:b w:val="0"/>
          <w:bCs w:val="0"/>
          <w:sz w:val="32"/>
        </w:rPr>
        <w:t>情况。</w:t>
      </w:r>
      <w:r>
        <w:rPr>
          <w:rFonts w:hint="eastAsia" w:ascii="仿宋_GB2312" w:hAnsi="仿宋_GB2312" w:eastAsia="仿宋_GB2312" w:cs="仿宋_GB2312"/>
          <w:b w:val="0"/>
          <w:bCs w:val="0"/>
          <w:sz w:val="32"/>
          <w:lang w:val="en-US" w:eastAsia="zh-CN"/>
        </w:rPr>
        <w:t>四是曲江区</w:t>
      </w:r>
      <w:r>
        <w:rPr>
          <w:rFonts w:hint="eastAsia" w:ascii="仿宋_GB2312" w:eastAsia="仿宋_GB2312"/>
          <w:sz w:val="32"/>
          <w:lang w:val="en-US" w:eastAsia="zh-CN"/>
        </w:rPr>
        <w:t>2023年度涉农资金</w:t>
      </w:r>
      <w:r>
        <w:rPr>
          <w:rFonts w:hint="eastAsia" w:ascii="仿宋_GB2312" w:hAnsi="仿宋_GB2312" w:eastAsia="仿宋_GB2312" w:cs="仿宋_GB2312"/>
          <w:b w:val="0"/>
          <w:bCs w:val="0"/>
          <w:sz w:val="32"/>
          <w:lang w:val="en-US" w:eastAsia="zh-CN"/>
        </w:rPr>
        <w:t>项目的建设（实施）内容均不在《广东省涉农资金统筹整合管理办法（2020年修订）》（粤财农〔2020〕106号 ）和《广东省乡村振兴驻镇帮镇扶村资金筹集使用监管办法》（粤财农〔2021〕126号）中“负面清单”的范围之内。</w:t>
      </w:r>
    </w:p>
    <w:p>
      <w:pPr>
        <w:spacing w:line="360" w:lineRule="auto"/>
        <w:ind w:firstLine="642" w:firstLineChars="200"/>
        <w:rPr>
          <w:rFonts w:ascii="仿宋_GB2312" w:hAnsi="宋体" w:eastAsia="仿宋_GB2312"/>
          <w:b/>
          <w:sz w:val="32"/>
          <w:szCs w:val="32"/>
        </w:rPr>
      </w:pPr>
      <w:r>
        <w:rPr>
          <w:rFonts w:hint="eastAsia" w:ascii="仿宋_GB2312" w:eastAsia="仿宋_GB2312"/>
          <w:b/>
          <w:sz w:val="32"/>
          <w:szCs w:val="32"/>
        </w:rPr>
        <w:t>2.事项管理。</w:t>
      </w:r>
    </w:p>
    <w:p>
      <w:pPr>
        <w:pStyle w:val="16"/>
        <w:ind w:firstLine="640" w:firstLineChars="200"/>
        <w:rPr>
          <w:rFonts w:ascii="仿宋_GB2312" w:eastAsia="仿宋_GB2312"/>
          <w:sz w:val="32"/>
          <w:szCs w:val="32"/>
        </w:rPr>
      </w:pPr>
      <w:r>
        <w:rPr>
          <w:rFonts w:hint="eastAsia" w:ascii="仿宋_GB2312" w:eastAsia="仿宋_GB2312"/>
          <w:sz w:val="32"/>
          <w:szCs w:val="32"/>
        </w:rPr>
        <w:t>（1）实施程序。</w:t>
      </w:r>
    </w:p>
    <w:p>
      <w:pPr>
        <w:ind w:firstLine="640" w:firstLineChars="200"/>
        <w:rPr>
          <w:rFonts w:hint="eastAsia" w:ascii="仿宋_GB2312" w:hAnsi="仿宋_GB2312" w:eastAsia="仿宋_GB2312" w:cs="仿宋_GB2312"/>
          <w:b w:val="0"/>
          <w:bCs w:val="0"/>
          <w:sz w:val="32"/>
          <w:lang w:val="en-US" w:eastAsia="zh-CN"/>
        </w:rPr>
      </w:pPr>
      <w:r>
        <w:rPr>
          <w:rFonts w:hint="eastAsia" w:ascii="仿宋_GB2312" w:hAnsi="仿宋_GB2312" w:eastAsia="仿宋_GB2312" w:cs="仿宋_GB2312"/>
          <w:b w:val="0"/>
          <w:bCs w:val="0"/>
          <w:sz w:val="32"/>
        </w:rPr>
        <w:t>该指标</w:t>
      </w:r>
      <w:r>
        <w:rPr>
          <w:rFonts w:hint="eastAsia" w:ascii="仿宋_GB2312" w:hAnsi="仿宋_GB2312" w:eastAsia="仿宋_GB2312" w:cs="仿宋_GB2312"/>
          <w:b w:val="0"/>
          <w:bCs w:val="0"/>
          <w:sz w:val="32"/>
          <w:lang w:val="en-US" w:eastAsia="zh-CN"/>
        </w:rPr>
        <w:t>分值4分，</w:t>
      </w:r>
      <w:r>
        <w:rPr>
          <w:rFonts w:hint="eastAsia" w:ascii="仿宋_GB2312" w:hAnsi="仿宋_GB2312" w:eastAsia="仿宋_GB2312" w:cs="仿宋_GB2312"/>
          <w:b w:val="0"/>
          <w:bCs w:val="0"/>
          <w:sz w:val="32"/>
        </w:rPr>
        <w:t>不扣分</w:t>
      </w:r>
      <w:r>
        <w:rPr>
          <w:rFonts w:hint="eastAsia" w:ascii="仿宋_GB2312" w:hAnsi="仿宋_GB2312" w:eastAsia="仿宋_GB2312" w:cs="仿宋_GB2312"/>
          <w:b w:val="0"/>
          <w:bCs w:val="0"/>
          <w:sz w:val="32"/>
          <w:lang w:eastAsia="zh-CN"/>
        </w:rPr>
        <w:t>，</w:t>
      </w:r>
      <w:r>
        <w:rPr>
          <w:rFonts w:hint="eastAsia" w:ascii="仿宋_GB2312" w:hAnsi="仿宋_GB2312" w:eastAsia="仿宋_GB2312" w:cs="仿宋_GB2312"/>
          <w:b w:val="0"/>
          <w:bCs w:val="0"/>
          <w:sz w:val="32"/>
          <w:lang w:val="en-US" w:eastAsia="zh-CN"/>
        </w:rPr>
        <w:t>得4分</w:t>
      </w:r>
      <w:r>
        <w:rPr>
          <w:rFonts w:hint="eastAsia" w:ascii="仿宋_GB2312" w:hAnsi="仿宋_GB2312" w:eastAsia="仿宋_GB2312" w:cs="仿宋_GB2312"/>
          <w:b w:val="0"/>
          <w:bCs w:val="0"/>
          <w:sz w:val="32"/>
        </w:rPr>
        <w:t>。</w:t>
      </w:r>
    </w:p>
    <w:p>
      <w:pPr>
        <w:ind w:firstLine="640" w:firstLineChars="200"/>
        <w:rPr>
          <w:rFonts w:hint="eastAsia" w:ascii="仿宋_GB2312" w:hAnsi="仿宋_GB2312" w:eastAsia="仿宋_GB2312" w:cs="仿宋_GB2312"/>
          <w:b w:val="0"/>
          <w:bCs w:val="0"/>
          <w:sz w:val="32"/>
        </w:rPr>
      </w:pPr>
      <w:r>
        <w:rPr>
          <w:rFonts w:hint="eastAsia" w:ascii="仿宋_GB2312" w:hAnsi="仿宋_GB2312" w:eastAsia="仿宋_GB2312" w:cs="仿宋_GB2312"/>
          <w:b w:val="0"/>
          <w:bCs w:val="0"/>
          <w:sz w:val="32"/>
        </w:rPr>
        <w:t>曲江区2023年度涉农资金项目均按照规定程序实施，严格执行相关制度规定，主要体现在：</w:t>
      </w:r>
    </w:p>
    <w:p>
      <w:pPr>
        <w:ind w:firstLine="642" w:firstLineChars="200"/>
        <w:rPr>
          <w:rFonts w:hint="eastAsia" w:eastAsia="仿宋_GB2312"/>
          <w:sz w:val="32"/>
        </w:rPr>
      </w:pPr>
      <w:r>
        <w:rPr>
          <w:rFonts w:hint="eastAsia" w:eastAsia="仿宋_GB2312"/>
          <w:b/>
          <w:bCs/>
          <w:sz w:val="32"/>
        </w:rPr>
        <w:t>一是</w:t>
      </w:r>
      <w:r>
        <w:rPr>
          <w:rFonts w:hint="eastAsia" w:ascii="仿宋_GB2312" w:hAnsi="仿宋_GB2312" w:eastAsia="仿宋_GB2312" w:cs="仿宋_GB2312"/>
          <w:sz w:val="32"/>
          <w:highlight w:val="none"/>
          <w:lang w:val="en-US" w:eastAsia="zh-CN"/>
        </w:rPr>
        <w:t>在2023年涉农资金的申报、分配及调整，均经过</w:t>
      </w:r>
      <w:r>
        <w:rPr>
          <w:rFonts w:hint="eastAsia" w:ascii="仿宋_GB2312" w:hAnsi="仿宋_GB2312" w:eastAsia="仿宋_GB2312" w:cs="仿宋_GB2312"/>
          <w:b w:val="0"/>
          <w:bCs w:val="0"/>
          <w:sz w:val="32"/>
          <w:lang w:val="en-US" w:eastAsia="zh-CN"/>
        </w:rPr>
        <w:t>涉农资金统筹整合工作领导小组</w:t>
      </w:r>
      <w:r>
        <w:rPr>
          <w:rFonts w:hint="eastAsia" w:ascii="仿宋_GB2312" w:hAnsi="仿宋_GB2312" w:eastAsia="仿宋_GB2312" w:cs="仿宋_GB2312"/>
          <w:sz w:val="32"/>
          <w:highlight w:val="none"/>
          <w:lang w:val="en-US" w:eastAsia="zh-CN"/>
        </w:rPr>
        <w:t>联席会议或工作会议审议通过。</w:t>
      </w:r>
      <w:r>
        <w:rPr>
          <w:rFonts w:hint="eastAsia" w:eastAsia="仿宋_GB2312"/>
          <w:b/>
          <w:bCs/>
          <w:sz w:val="32"/>
        </w:rPr>
        <w:t>二是</w:t>
      </w:r>
      <w:r>
        <w:rPr>
          <w:rFonts w:hint="eastAsia" w:ascii="仿宋_GB2312" w:hAnsi="仿宋_GB2312" w:eastAsia="仿宋_GB2312" w:cs="仿宋_GB2312"/>
          <w:sz w:val="32"/>
        </w:rPr>
        <w:t>在</w:t>
      </w:r>
      <w:r>
        <w:rPr>
          <w:rFonts w:hint="eastAsia" w:ascii="仿宋_GB2312" w:hAnsi="仿宋_GB2312" w:eastAsia="仿宋_GB2312" w:cs="仿宋_GB2312"/>
          <w:sz w:val="32"/>
          <w:lang w:val="en-US" w:eastAsia="zh-CN"/>
        </w:rPr>
        <w:t>2023</w:t>
      </w:r>
      <w:r>
        <w:rPr>
          <w:rFonts w:hint="eastAsia" w:eastAsia="仿宋_GB2312"/>
          <w:sz w:val="32"/>
          <w:lang w:val="en-US" w:eastAsia="zh-CN"/>
        </w:rPr>
        <w:t>年度涉农资金</w:t>
      </w:r>
      <w:r>
        <w:rPr>
          <w:rFonts w:hint="eastAsia" w:eastAsia="仿宋_GB2312"/>
          <w:sz w:val="32"/>
        </w:rPr>
        <w:t>项目</w:t>
      </w:r>
      <w:r>
        <w:rPr>
          <w:rFonts w:hint="eastAsia" w:eastAsia="仿宋_GB2312"/>
          <w:sz w:val="32"/>
          <w:lang w:val="en-US" w:eastAsia="zh-CN"/>
        </w:rPr>
        <w:t>实施</w:t>
      </w:r>
      <w:r>
        <w:rPr>
          <w:rFonts w:hint="eastAsia" w:eastAsia="仿宋_GB2312"/>
          <w:sz w:val="32"/>
        </w:rPr>
        <w:t>过程中，各</w:t>
      </w:r>
      <w:r>
        <w:rPr>
          <w:rFonts w:hint="eastAsia" w:eastAsia="仿宋_GB2312"/>
          <w:sz w:val="32"/>
          <w:lang w:val="en-US" w:eastAsia="zh-CN"/>
        </w:rPr>
        <w:t>涉农项目单位均能</w:t>
      </w:r>
      <w:r>
        <w:rPr>
          <w:rFonts w:hint="eastAsia" w:eastAsia="仿宋_GB2312"/>
          <w:sz w:val="32"/>
        </w:rPr>
        <w:t>严格</w:t>
      </w:r>
      <w:r>
        <w:rPr>
          <w:rFonts w:hint="eastAsia" w:eastAsia="仿宋_GB2312"/>
          <w:sz w:val="32"/>
          <w:lang w:val="en-US" w:eastAsia="zh-CN"/>
        </w:rPr>
        <w:t>执行</w:t>
      </w:r>
      <w:r>
        <w:rPr>
          <w:rFonts w:hint="eastAsia" w:eastAsia="仿宋_GB2312"/>
          <w:sz w:val="32"/>
        </w:rPr>
        <w:t>项目</w:t>
      </w:r>
      <w:r>
        <w:rPr>
          <w:rFonts w:hint="eastAsia" w:eastAsia="仿宋_GB2312"/>
          <w:sz w:val="32"/>
          <w:lang w:val="en-US" w:eastAsia="zh-CN"/>
        </w:rPr>
        <w:t>立项</w:t>
      </w:r>
      <w:r>
        <w:rPr>
          <w:rFonts w:hint="eastAsia" w:eastAsia="仿宋_GB2312"/>
          <w:sz w:val="32"/>
        </w:rPr>
        <w:t>、</w:t>
      </w:r>
      <w:r>
        <w:rPr>
          <w:rFonts w:hint="eastAsia" w:eastAsia="仿宋_GB2312"/>
          <w:sz w:val="32"/>
          <w:lang w:val="en-US" w:eastAsia="zh-CN"/>
        </w:rPr>
        <w:t>方案制定</w:t>
      </w:r>
      <w:r>
        <w:rPr>
          <w:rFonts w:hint="eastAsia" w:eastAsia="仿宋_GB2312"/>
          <w:sz w:val="32"/>
        </w:rPr>
        <w:t>、预算</w:t>
      </w:r>
      <w:r>
        <w:rPr>
          <w:rFonts w:hint="eastAsia" w:eastAsia="仿宋_GB2312"/>
          <w:sz w:val="32"/>
          <w:lang w:val="en-US" w:eastAsia="zh-CN"/>
        </w:rPr>
        <w:t>编制</w:t>
      </w:r>
      <w:r>
        <w:rPr>
          <w:rFonts w:hint="eastAsia" w:eastAsia="仿宋_GB2312"/>
          <w:sz w:val="32"/>
        </w:rPr>
        <w:t>、</w:t>
      </w:r>
      <w:r>
        <w:rPr>
          <w:rFonts w:hint="eastAsia" w:eastAsia="仿宋_GB2312"/>
          <w:sz w:val="32"/>
          <w:lang w:val="en-US" w:eastAsia="zh-CN"/>
        </w:rPr>
        <w:t>入库申报</w:t>
      </w:r>
      <w:r>
        <w:rPr>
          <w:rFonts w:hint="eastAsia" w:eastAsia="仿宋_GB2312"/>
          <w:sz w:val="32"/>
        </w:rPr>
        <w:t>、</w:t>
      </w:r>
      <w:r>
        <w:rPr>
          <w:rFonts w:hint="eastAsia" w:eastAsia="仿宋_GB2312"/>
          <w:sz w:val="32"/>
          <w:lang w:val="en-US" w:eastAsia="zh-CN"/>
        </w:rPr>
        <w:t>招投标（采购）、</w:t>
      </w:r>
      <w:r>
        <w:rPr>
          <w:rFonts w:hint="eastAsia" w:eastAsia="仿宋_GB2312"/>
          <w:sz w:val="32"/>
        </w:rPr>
        <w:t>合同签署、</w:t>
      </w:r>
      <w:r>
        <w:rPr>
          <w:rFonts w:hint="eastAsia" w:eastAsia="仿宋_GB2312"/>
          <w:sz w:val="32"/>
          <w:lang w:val="en-US" w:eastAsia="zh-CN"/>
        </w:rPr>
        <w:t>过程监管</w:t>
      </w:r>
      <w:r>
        <w:rPr>
          <w:rFonts w:hint="eastAsia" w:eastAsia="仿宋_GB2312"/>
          <w:sz w:val="32"/>
        </w:rPr>
        <w:t>、验收、资料归档等环节的</w:t>
      </w:r>
      <w:r>
        <w:rPr>
          <w:rFonts w:hint="eastAsia" w:eastAsia="仿宋_GB2312"/>
          <w:sz w:val="32"/>
          <w:lang w:val="en-US" w:eastAsia="zh-CN"/>
        </w:rPr>
        <w:t>规范</w:t>
      </w:r>
      <w:r>
        <w:rPr>
          <w:rFonts w:hint="eastAsia" w:eastAsia="仿宋_GB2312"/>
          <w:sz w:val="32"/>
        </w:rPr>
        <w:t>程序。</w:t>
      </w:r>
    </w:p>
    <w:p>
      <w:pPr>
        <w:pStyle w:val="16"/>
        <w:ind w:firstLine="640" w:firstLineChars="200"/>
        <w:rPr>
          <w:rFonts w:ascii="仿宋_GB2312" w:eastAsia="仿宋_GB2312"/>
          <w:sz w:val="32"/>
          <w:szCs w:val="32"/>
        </w:rPr>
      </w:pPr>
      <w:r>
        <w:rPr>
          <w:rFonts w:hint="eastAsia" w:ascii="仿宋_GB2312" w:eastAsia="仿宋_GB2312"/>
          <w:sz w:val="32"/>
          <w:szCs w:val="32"/>
        </w:rPr>
        <w:t>（2）管理情况。</w:t>
      </w:r>
    </w:p>
    <w:p>
      <w:pPr>
        <w:pStyle w:val="15"/>
        <w:adjustRightInd w:val="0"/>
        <w:snapToGrid w:val="0"/>
        <w:spacing w:line="360" w:lineRule="auto"/>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highlight w:val="none"/>
          <w:lang w:val="en-US" w:eastAsia="zh-CN"/>
        </w:rPr>
        <w:t>该指标分值4分，不扣分，得4分。</w:t>
      </w:r>
    </w:p>
    <w:p>
      <w:pPr>
        <w:pStyle w:val="15"/>
        <w:adjustRightInd w:val="0"/>
        <w:snapToGrid w:val="0"/>
        <w:spacing w:line="360" w:lineRule="auto"/>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highlight w:val="none"/>
          <w:lang w:val="en-US" w:eastAsia="zh-CN"/>
        </w:rPr>
        <w:t>曲江区建立了《韶关市曲江区涉农项目和资金管理实施细则》（韶曲府办〔2020〕21号）、《韶关市曲江区乡村振兴驻镇帮镇扶村资金筹集使用监管细则》（韶曲财〔2021〕57号）等涉农资金统筹整合管理制度，并按其规定对2023年涉农资金项目的实施开展有效的监管。一是在项目入库申报阶段，开展了事前绩效评审，对项目申报材料的完整性、立项必要性、绩效目标的合理性、实施的可行性以及投入的经济性等方面进行审核。二是在项目实施过程中，对2023年度涉农资金项目开展了事中绩效监控，对项目开展进度、资金支出进度、项目实施过程的合规性、项目实施（建设）的质量等进行检查，及时发现项目实施过程中存在的问题并研究解决办法。三是在2024年初，要求各涉农项目单位开展2023年度涉农资金绩效自评，同时委托第三方机构实施2023年度涉农资金重点绩效评价，并对各涉农项目单位报送的绩效自评材料进行复核。四是落实绩效评价结果应用，就绩效评价过程中发现的问题要求对应的项目单位限期整改，并把涉农资金年度重点绩效评价结果作为下一年度涉农资金的分配和安排的重要参考依据。</w:t>
      </w:r>
    </w:p>
    <w:p>
      <w:pPr>
        <w:spacing w:line="360" w:lineRule="auto"/>
        <w:ind w:firstLine="642" w:firstLineChars="200"/>
        <w:outlineLvl w:val="1"/>
        <w:rPr>
          <w:rFonts w:ascii="Times New Roman" w:hAnsi="Times New Roman" w:eastAsia="楷体_GB2312" w:cs="Times New Roman"/>
          <w:b/>
          <w:bCs/>
          <w:sz w:val="32"/>
          <w:szCs w:val="32"/>
        </w:rPr>
      </w:pPr>
      <w:bookmarkStart w:id="21" w:name="_Toc96960258"/>
      <w:r>
        <w:rPr>
          <w:rFonts w:hint="eastAsia" w:ascii="Times New Roman" w:hAnsi="Times New Roman" w:eastAsia="楷体_GB2312" w:cs="Times New Roman"/>
          <w:b/>
          <w:bCs/>
          <w:sz w:val="32"/>
          <w:szCs w:val="32"/>
        </w:rPr>
        <w:t>（三）产出</w:t>
      </w:r>
      <w:bookmarkEnd w:id="21"/>
    </w:p>
    <w:p>
      <w:pPr>
        <w:ind w:firstLine="642" w:firstLineChars="200"/>
        <w:rPr>
          <w:rFonts w:hint="eastAsia" w:ascii="楷体" w:hAnsi="楷体" w:eastAsia="楷体" w:cs="楷体"/>
          <w:b/>
          <w:sz w:val="32"/>
          <w:szCs w:val="32"/>
        </w:rPr>
      </w:pPr>
      <w:r>
        <w:rPr>
          <w:rFonts w:hint="eastAsia" w:ascii="楷体" w:hAnsi="楷体" w:eastAsia="楷体" w:cs="楷体"/>
          <w:b/>
          <w:sz w:val="32"/>
          <w:szCs w:val="32"/>
        </w:rPr>
        <w:t>1.</w:t>
      </w:r>
      <w:r>
        <w:rPr>
          <w:rFonts w:hint="eastAsia" w:ascii="楷体" w:hAnsi="楷体" w:eastAsia="楷体" w:cs="楷体"/>
          <w:b/>
          <w:sz w:val="32"/>
          <w:szCs w:val="32"/>
          <w:lang w:val="en-US" w:eastAsia="zh-CN"/>
        </w:rPr>
        <w:t xml:space="preserve"> </w:t>
      </w:r>
      <w:r>
        <w:rPr>
          <w:rFonts w:hint="eastAsia" w:ascii="楷体" w:hAnsi="楷体" w:eastAsia="楷体" w:cs="楷体"/>
          <w:b/>
          <w:sz w:val="32"/>
          <w:szCs w:val="32"/>
        </w:rPr>
        <w:t>预算</w:t>
      </w:r>
      <w:r>
        <w:rPr>
          <w:rFonts w:hint="eastAsia" w:ascii="楷体" w:hAnsi="楷体" w:eastAsia="楷体" w:cs="楷体"/>
          <w:b/>
          <w:sz w:val="32"/>
          <w:szCs w:val="32"/>
          <w:lang w:eastAsia="zh-CN"/>
        </w:rPr>
        <w:t>（</w:t>
      </w:r>
      <w:r>
        <w:rPr>
          <w:rFonts w:hint="eastAsia" w:ascii="楷体" w:hAnsi="楷体" w:eastAsia="楷体" w:cs="楷体"/>
          <w:b/>
          <w:sz w:val="32"/>
          <w:szCs w:val="32"/>
          <w:lang w:val="en-US" w:eastAsia="zh-CN"/>
        </w:rPr>
        <w:t>成本</w:t>
      </w:r>
      <w:r>
        <w:rPr>
          <w:rFonts w:hint="eastAsia" w:ascii="楷体" w:hAnsi="楷体" w:eastAsia="楷体" w:cs="楷体"/>
          <w:b/>
          <w:sz w:val="32"/>
          <w:szCs w:val="32"/>
          <w:lang w:eastAsia="zh-CN"/>
        </w:rPr>
        <w:t>）</w:t>
      </w:r>
      <w:r>
        <w:rPr>
          <w:rFonts w:hint="eastAsia" w:ascii="楷体" w:hAnsi="楷体" w:eastAsia="楷体" w:cs="楷体"/>
          <w:b/>
          <w:sz w:val="32"/>
          <w:szCs w:val="32"/>
        </w:rPr>
        <w:t>控制。</w:t>
      </w:r>
    </w:p>
    <w:p>
      <w:pPr>
        <w:pStyle w:val="15"/>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分值5分，</w:t>
      </w:r>
      <w:r>
        <w:rPr>
          <w:rFonts w:hint="eastAsia" w:ascii="仿宋_GB2312" w:hAnsi="仿宋_GB2312" w:eastAsia="仿宋_GB2312" w:cs="仿宋_GB2312"/>
          <w:sz w:val="32"/>
        </w:rPr>
        <w:t>不扣分</w:t>
      </w:r>
      <w:r>
        <w:rPr>
          <w:rFonts w:hint="eastAsia" w:ascii="仿宋_GB2312" w:hAnsi="仿宋_GB2312" w:eastAsia="仿宋_GB2312" w:cs="仿宋_GB2312"/>
          <w:sz w:val="32"/>
          <w:highlight w:val="none"/>
          <w:lang w:val="en-US" w:eastAsia="zh-CN"/>
        </w:rPr>
        <w:t>，得5分。</w:t>
      </w:r>
    </w:p>
    <w:p>
      <w:pPr>
        <w:pStyle w:val="15"/>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Style w:val="20"/>
          <w:rFonts w:hint="eastAsia" w:ascii="仿宋_GB2312" w:hAnsi="仿宋_GB2312" w:eastAsia="仿宋_GB2312" w:cs="仿宋_GB2312"/>
          <w:sz w:val="32"/>
        </w:rPr>
      </w:pPr>
      <w:r>
        <w:rPr>
          <w:rStyle w:val="20"/>
          <w:rFonts w:hint="eastAsia" w:ascii="仿宋_GB2312" w:hAnsi="仿宋_GB2312" w:eastAsia="仿宋_GB2312" w:cs="仿宋_GB2312"/>
          <w:sz w:val="32"/>
          <w:lang w:val="en-US" w:eastAsia="zh-CN"/>
        </w:rPr>
        <w:t>曲江区2023年度涉农资金</w:t>
      </w:r>
      <w:r>
        <w:rPr>
          <w:rStyle w:val="20"/>
          <w:rFonts w:hint="eastAsia" w:ascii="仿宋_GB2312" w:hAnsi="仿宋_GB2312" w:eastAsia="仿宋_GB2312" w:cs="仿宋_GB2312"/>
          <w:sz w:val="32"/>
        </w:rPr>
        <w:t>项目</w:t>
      </w:r>
      <w:r>
        <w:rPr>
          <w:rStyle w:val="20"/>
          <w:rFonts w:hint="eastAsia" w:ascii="仿宋_GB2312" w:hAnsi="仿宋_GB2312" w:eastAsia="仿宋_GB2312" w:cs="仿宋_GB2312"/>
          <w:sz w:val="32"/>
          <w:lang w:val="en-US" w:eastAsia="zh-CN"/>
        </w:rPr>
        <w:t>的</w:t>
      </w:r>
      <w:r>
        <w:rPr>
          <w:rStyle w:val="20"/>
          <w:rFonts w:hint="eastAsia" w:ascii="仿宋_GB2312" w:hAnsi="仿宋_GB2312" w:eastAsia="仿宋_GB2312" w:cs="仿宋_GB2312"/>
          <w:sz w:val="32"/>
        </w:rPr>
        <w:t>预算执行进度</w:t>
      </w:r>
      <w:r>
        <w:rPr>
          <w:rStyle w:val="20"/>
          <w:rFonts w:hint="eastAsia" w:ascii="仿宋_GB2312" w:hAnsi="仿宋_GB2312" w:eastAsia="仿宋_GB2312" w:cs="仿宋_GB2312"/>
          <w:sz w:val="32"/>
          <w:lang w:val="en-US" w:eastAsia="zh-CN"/>
        </w:rPr>
        <w:t>未超出项目的</w:t>
      </w:r>
      <w:r>
        <w:rPr>
          <w:rStyle w:val="20"/>
          <w:rFonts w:hint="eastAsia" w:ascii="仿宋_GB2312" w:hAnsi="仿宋_GB2312" w:eastAsia="仿宋_GB2312" w:cs="仿宋_GB2312"/>
          <w:sz w:val="32"/>
        </w:rPr>
        <w:t>完成进度</w:t>
      </w:r>
      <w:r>
        <w:rPr>
          <w:rStyle w:val="20"/>
          <w:rFonts w:hint="eastAsia" w:ascii="仿宋_GB2312" w:hAnsi="仿宋_GB2312" w:eastAsia="仿宋_GB2312" w:cs="仿宋_GB2312"/>
          <w:sz w:val="32"/>
          <w:lang w:eastAsia="zh-CN"/>
        </w:rPr>
        <w:t>，</w:t>
      </w:r>
      <w:r>
        <w:rPr>
          <w:rStyle w:val="20"/>
          <w:rFonts w:hint="eastAsia" w:ascii="仿宋_GB2312" w:hAnsi="仿宋_GB2312" w:eastAsia="仿宋_GB2312" w:cs="仿宋_GB2312"/>
          <w:sz w:val="32"/>
          <w:lang w:val="en-US" w:eastAsia="zh-CN"/>
        </w:rPr>
        <w:t>项目的实施成本和</w:t>
      </w:r>
      <w:r>
        <w:rPr>
          <w:rStyle w:val="20"/>
          <w:rFonts w:hint="eastAsia" w:ascii="仿宋_GB2312" w:hAnsi="仿宋_GB2312" w:eastAsia="仿宋_GB2312" w:cs="仿宋_GB2312"/>
          <w:sz w:val="32"/>
        </w:rPr>
        <w:t>实际支出均控制在预算范围内</w:t>
      </w:r>
      <w:r>
        <w:rPr>
          <w:rStyle w:val="20"/>
          <w:rFonts w:hint="eastAsia" w:ascii="仿宋_GB2312" w:hAnsi="仿宋_GB2312" w:eastAsia="仿宋_GB2312" w:cs="仿宋_GB2312"/>
          <w:sz w:val="32"/>
          <w:lang w:eastAsia="zh-CN"/>
        </w:rPr>
        <w:t>，预算（成本）控制</w:t>
      </w:r>
      <w:r>
        <w:rPr>
          <w:rStyle w:val="20"/>
          <w:rFonts w:hint="eastAsia" w:ascii="仿宋_GB2312" w:hAnsi="仿宋_GB2312" w:eastAsia="仿宋_GB2312" w:cs="仿宋_GB2312"/>
          <w:sz w:val="32"/>
          <w:lang w:val="en-US" w:eastAsia="zh-CN"/>
        </w:rPr>
        <w:t>有效性良好</w:t>
      </w:r>
      <w:r>
        <w:rPr>
          <w:rStyle w:val="20"/>
          <w:rFonts w:hint="eastAsia" w:ascii="仿宋_GB2312" w:hAnsi="仿宋_GB2312" w:eastAsia="仿宋_GB2312" w:cs="仿宋_GB2312"/>
          <w:sz w:val="32"/>
        </w:rPr>
        <w:t>。</w:t>
      </w:r>
    </w:p>
    <w:p>
      <w:pPr>
        <w:ind w:firstLine="642" w:firstLineChars="200"/>
        <w:rPr>
          <w:rFonts w:hint="eastAsia" w:ascii="楷体" w:hAnsi="楷体" w:eastAsia="楷体" w:cs="楷体"/>
          <w:b/>
          <w:bCs w:val="0"/>
          <w:sz w:val="32"/>
          <w:szCs w:val="32"/>
        </w:rPr>
      </w:pPr>
      <w:r>
        <w:rPr>
          <w:rFonts w:hint="eastAsia" w:ascii="楷体" w:hAnsi="楷体" w:eastAsia="楷体" w:cs="楷体"/>
          <w:b/>
          <w:bCs w:val="0"/>
          <w:sz w:val="32"/>
          <w:szCs w:val="32"/>
        </w:rPr>
        <w:t>2.</w:t>
      </w:r>
      <w:r>
        <w:rPr>
          <w:rFonts w:hint="eastAsia" w:ascii="楷体" w:hAnsi="楷体" w:eastAsia="楷体" w:cs="楷体"/>
          <w:b/>
          <w:bCs w:val="0"/>
          <w:sz w:val="32"/>
          <w:szCs w:val="32"/>
          <w:lang w:val="en-US" w:eastAsia="zh-CN"/>
        </w:rPr>
        <w:t xml:space="preserve"> </w:t>
      </w:r>
      <w:r>
        <w:rPr>
          <w:rFonts w:hint="eastAsia" w:ascii="楷体" w:hAnsi="楷体" w:eastAsia="楷体" w:cs="楷体"/>
          <w:b/>
          <w:bCs w:val="0"/>
          <w:sz w:val="32"/>
          <w:szCs w:val="32"/>
        </w:rPr>
        <w:t>完成进度及质量。</w:t>
      </w:r>
    </w:p>
    <w:p>
      <w:pPr>
        <w:ind w:firstLine="640" w:firstLineChars="200"/>
        <w:rPr>
          <w:rStyle w:val="20"/>
          <w:rFonts w:hint="eastAsia" w:ascii="仿宋_GB2312" w:hAnsi="仿宋_GB2312" w:eastAsia="仿宋_GB2312" w:cs="仿宋_GB2312"/>
          <w:sz w:val="32"/>
        </w:rPr>
      </w:pPr>
      <w:r>
        <w:rPr>
          <w:rStyle w:val="20"/>
          <w:rFonts w:hint="eastAsia" w:ascii="仿宋_GB2312" w:hAnsi="仿宋_GB2312" w:eastAsia="仿宋_GB2312" w:cs="仿宋_GB2312"/>
          <w:sz w:val="32"/>
          <w:lang w:eastAsia="zh-CN"/>
        </w:rPr>
        <w:t>（</w:t>
      </w:r>
      <w:r>
        <w:rPr>
          <w:rStyle w:val="20"/>
          <w:rFonts w:hint="eastAsia" w:ascii="仿宋_GB2312" w:hAnsi="仿宋_GB2312" w:eastAsia="仿宋_GB2312" w:cs="仿宋_GB2312"/>
          <w:sz w:val="32"/>
          <w:lang w:val="en-US" w:eastAsia="zh-CN"/>
        </w:rPr>
        <w:t>1</w:t>
      </w:r>
      <w:r>
        <w:rPr>
          <w:rStyle w:val="20"/>
          <w:rFonts w:hint="eastAsia" w:ascii="仿宋_GB2312" w:hAnsi="仿宋_GB2312" w:eastAsia="仿宋_GB2312" w:cs="仿宋_GB2312"/>
          <w:sz w:val="32"/>
          <w:lang w:eastAsia="zh-CN"/>
        </w:rPr>
        <w:t>）</w:t>
      </w:r>
      <w:r>
        <w:rPr>
          <w:rFonts w:hint="eastAsia" w:ascii="仿宋_GB2312" w:hAnsi="仿宋_GB2312" w:eastAsia="仿宋_GB2312" w:cs="仿宋_GB2312"/>
          <w:b w:val="0"/>
          <w:bCs w:val="0"/>
          <w:kern w:val="2"/>
          <w:sz w:val="32"/>
          <w:highlight w:val="none"/>
        </w:rPr>
        <w:t>项目完成率</w:t>
      </w:r>
      <w:r>
        <w:rPr>
          <w:rStyle w:val="20"/>
          <w:rFonts w:hint="eastAsia" w:ascii="仿宋_GB2312" w:hAnsi="仿宋_GB2312" w:eastAsia="仿宋_GB2312" w:cs="仿宋_GB2312"/>
          <w:sz w:val="32"/>
        </w:rPr>
        <w:t>。</w:t>
      </w:r>
    </w:p>
    <w:p>
      <w:pPr>
        <w:ind w:firstLine="640" w:firstLineChars="200"/>
        <w:rPr>
          <w:rFonts w:hint="eastAsia" w:ascii="仿宋_GB2312" w:hAnsi="仿宋_GB2312" w:eastAsia="仿宋_GB2312" w:cs="仿宋_GB2312"/>
          <w:b w:val="0"/>
          <w:bCs w:val="0"/>
          <w:kern w:val="2"/>
          <w:sz w:val="32"/>
          <w:highlight w:val="none"/>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分值4分，</w:t>
      </w:r>
      <w:r>
        <w:rPr>
          <w:rFonts w:hint="eastAsia" w:ascii="仿宋_GB2312" w:hAnsi="仿宋_GB2312" w:eastAsia="仿宋_GB2312" w:cs="仿宋_GB2312"/>
          <w:sz w:val="32"/>
        </w:rPr>
        <w:t>扣</w:t>
      </w:r>
      <w:r>
        <w:rPr>
          <w:rFonts w:hint="eastAsia" w:ascii="仿宋_GB2312" w:hAnsi="仿宋_GB2312" w:eastAsia="仿宋_GB2312" w:cs="仿宋_GB2312"/>
          <w:sz w:val="32"/>
          <w:lang w:val="en-US" w:eastAsia="zh-CN"/>
        </w:rPr>
        <w:t>0.43</w:t>
      </w:r>
      <w:r>
        <w:rPr>
          <w:rFonts w:hint="eastAsia" w:ascii="仿宋_GB2312" w:hAnsi="仿宋_GB2312" w:eastAsia="仿宋_GB2312" w:cs="仿宋_GB2312"/>
          <w:sz w:val="32"/>
        </w:rPr>
        <w:t>分</w:t>
      </w:r>
      <w:r>
        <w:rPr>
          <w:rFonts w:hint="eastAsia" w:ascii="仿宋_GB2312" w:hAnsi="仿宋_GB2312" w:eastAsia="仿宋_GB2312" w:cs="仿宋_GB2312"/>
          <w:sz w:val="32"/>
          <w:highlight w:val="none"/>
          <w:lang w:val="en-US" w:eastAsia="zh-CN"/>
        </w:rPr>
        <w:t>，得3.57分。</w:t>
      </w:r>
    </w:p>
    <w:p>
      <w:pPr>
        <w:ind w:firstLine="640" w:firstLineChars="200"/>
        <w:rPr>
          <w:rFonts w:hint="eastAsia" w:ascii="仿宋_GB2312" w:hAnsi="仿宋_GB2312" w:eastAsia="仿宋_GB2312" w:cs="仿宋_GB2312"/>
          <w:sz w:val="32"/>
          <w:lang w:eastAsia="zh-CN"/>
        </w:rPr>
      </w:pPr>
      <w:r>
        <w:rPr>
          <w:rFonts w:hint="eastAsia" w:ascii="仿宋_GB2312" w:hAnsi="仿宋_GB2312" w:eastAsia="仿宋_GB2312" w:cs="仿宋_GB2312"/>
          <w:b w:val="0"/>
          <w:bCs w:val="0"/>
          <w:kern w:val="2"/>
          <w:sz w:val="32"/>
          <w:highlight w:val="none"/>
        </w:rPr>
        <w:t>截至</w:t>
      </w:r>
      <w:r>
        <w:rPr>
          <w:rFonts w:hint="eastAsia" w:ascii="仿宋_GB2312" w:hAnsi="仿宋_GB2312" w:eastAsia="仿宋_GB2312" w:cs="仿宋_GB2312"/>
          <w:b w:val="0"/>
          <w:bCs w:val="0"/>
          <w:kern w:val="2"/>
          <w:sz w:val="32"/>
          <w:highlight w:val="none"/>
          <w:lang w:eastAsia="zh-CN"/>
        </w:rPr>
        <w:t>2023</w:t>
      </w:r>
      <w:r>
        <w:rPr>
          <w:rFonts w:hint="eastAsia" w:ascii="仿宋_GB2312" w:hAnsi="仿宋_GB2312" w:eastAsia="仿宋_GB2312" w:cs="仿宋_GB2312"/>
          <w:b w:val="0"/>
          <w:bCs w:val="0"/>
          <w:kern w:val="2"/>
          <w:sz w:val="32"/>
          <w:highlight w:val="none"/>
        </w:rPr>
        <w:t>年</w:t>
      </w:r>
      <w:r>
        <w:rPr>
          <w:rFonts w:hint="eastAsia" w:ascii="仿宋_GB2312" w:hAnsi="仿宋_GB2312" w:eastAsia="仿宋_GB2312" w:cs="仿宋_GB2312"/>
          <w:b w:val="0"/>
          <w:bCs w:val="0"/>
          <w:kern w:val="2"/>
          <w:sz w:val="32"/>
          <w:highlight w:val="none"/>
          <w:lang w:val="en-US" w:eastAsia="zh-CN"/>
        </w:rPr>
        <w:t>12月</w:t>
      </w:r>
      <w:r>
        <w:rPr>
          <w:rFonts w:hint="eastAsia" w:ascii="仿宋_GB2312" w:hAnsi="仿宋_GB2312" w:eastAsia="仿宋_GB2312" w:cs="仿宋_GB2312"/>
          <w:b w:val="0"/>
          <w:bCs w:val="0"/>
          <w:kern w:val="2"/>
          <w:sz w:val="32"/>
          <w:highlight w:val="none"/>
        </w:rPr>
        <w:t>底，</w:t>
      </w:r>
      <w:r>
        <w:rPr>
          <w:rFonts w:hint="eastAsia" w:ascii="仿宋_GB2312" w:hAnsi="仿宋_GB2312" w:eastAsia="仿宋_GB2312" w:cs="仿宋_GB2312"/>
          <w:b w:val="0"/>
          <w:bCs w:val="0"/>
          <w:kern w:val="2"/>
          <w:sz w:val="32"/>
          <w:highlight w:val="none"/>
          <w:lang w:val="en-US" w:eastAsia="zh-CN"/>
        </w:rPr>
        <w:t>曲江区2023年度省级涉农统筹整合转移支付资金共安排项目103个，其中完成当年度实施（建设）计划的92个，项目完成率89.32%，</w:t>
      </w:r>
      <w:r>
        <w:rPr>
          <w:rFonts w:hint="eastAsia" w:ascii="仿宋_GB2312" w:hAnsi="仿宋_GB2312" w:eastAsia="仿宋_GB2312" w:cs="仿宋_GB2312"/>
          <w:sz w:val="32"/>
        </w:rPr>
        <w:t>详见表</w:t>
      </w:r>
      <w:r>
        <w:rPr>
          <w:rFonts w:hint="eastAsia" w:ascii="仿宋_GB2312" w:hAnsi="仿宋_GB2312" w:eastAsia="仿宋_GB2312" w:cs="仿宋_GB2312"/>
          <w:sz w:val="32"/>
          <w:lang w:val="en-US" w:eastAsia="zh-CN"/>
        </w:rPr>
        <w:t>3-4</w:t>
      </w:r>
      <w:r>
        <w:rPr>
          <w:rFonts w:hint="eastAsia" w:ascii="仿宋_GB2312" w:hAnsi="仿宋_GB2312" w:eastAsia="仿宋_GB2312" w:cs="仿宋_GB2312"/>
          <w:sz w:val="32"/>
          <w:lang w:eastAsia="zh-CN"/>
        </w:rPr>
        <w:t>：</w:t>
      </w:r>
    </w:p>
    <w:p>
      <w:pPr>
        <w:pStyle w:val="18"/>
        <w:jc w:val="center"/>
      </w:pPr>
      <w:r>
        <w:rPr>
          <w:rFonts w:hint="eastAsia" w:ascii="黑体" w:hAnsi="黑体" w:eastAsia="黑体" w:cs="Times New Roman"/>
          <w:kern w:val="2"/>
          <w:sz w:val="28"/>
          <w:szCs w:val="28"/>
        </w:rPr>
        <w:t>表</w:t>
      </w:r>
      <w:r>
        <w:rPr>
          <w:rFonts w:hint="eastAsia" w:ascii="黑体" w:hAnsi="黑体" w:eastAsia="黑体" w:cs="Times New Roman"/>
          <w:kern w:val="2"/>
          <w:sz w:val="28"/>
          <w:szCs w:val="28"/>
          <w:lang w:val="en-US" w:eastAsia="zh-CN"/>
        </w:rPr>
        <w:t>3-4</w:t>
      </w:r>
      <w:r>
        <w:rPr>
          <w:rFonts w:hint="eastAsia" w:ascii="黑体" w:hAnsi="黑体" w:eastAsia="黑体" w:cs="Times New Roman"/>
          <w:kern w:val="2"/>
          <w:sz w:val="28"/>
          <w:szCs w:val="28"/>
        </w:rPr>
        <w:t xml:space="preserve">  曲江区</w:t>
      </w:r>
      <w:r>
        <w:rPr>
          <w:rFonts w:hint="eastAsia" w:ascii="黑体" w:hAnsi="黑体" w:eastAsia="黑体" w:cs="Times New Roman"/>
          <w:kern w:val="2"/>
          <w:sz w:val="28"/>
          <w:szCs w:val="28"/>
          <w:lang w:eastAsia="zh-CN"/>
        </w:rPr>
        <w:t>2023</w:t>
      </w:r>
      <w:r>
        <w:rPr>
          <w:rFonts w:hint="eastAsia" w:ascii="黑体" w:hAnsi="黑体" w:eastAsia="黑体" w:cs="Times New Roman"/>
          <w:kern w:val="2"/>
          <w:sz w:val="28"/>
          <w:szCs w:val="28"/>
        </w:rPr>
        <w:t>年</w:t>
      </w:r>
      <w:r>
        <w:rPr>
          <w:rFonts w:hint="eastAsia" w:ascii="黑体" w:hAnsi="黑体" w:eastAsia="黑体" w:cs="Times New Roman"/>
          <w:kern w:val="2"/>
          <w:sz w:val="28"/>
          <w:szCs w:val="28"/>
          <w:lang w:val="en-US" w:eastAsia="zh-CN"/>
        </w:rPr>
        <w:t>度</w:t>
      </w:r>
      <w:r>
        <w:rPr>
          <w:rFonts w:hint="eastAsia" w:ascii="黑体" w:hAnsi="黑体" w:eastAsia="黑体" w:cs="Times New Roman"/>
          <w:kern w:val="2"/>
          <w:sz w:val="28"/>
          <w:szCs w:val="28"/>
        </w:rPr>
        <w:t>涉农资金</w:t>
      </w:r>
      <w:r>
        <w:rPr>
          <w:rFonts w:hint="eastAsia" w:ascii="黑体" w:hAnsi="黑体" w:eastAsia="黑体" w:cs="Times New Roman"/>
          <w:kern w:val="2"/>
          <w:sz w:val="28"/>
          <w:szCs w:val="28"/>
          <w:lang w:val="en-US" w:eastAsia="zh-CN"/>
        </w:rPr>
        <w:t>项目完成</w:t>
      </w:r>
      <w:r>
        <w:rPr>
          <w:rFonts w:hint="eastAsia" w:ascii="黑体" w:hAnsi="黑体" w:eastAsia="黑体" w:cs="Times New Roman"/>
          <w:kern w:val="2"/>
          <w:sz w:val="28"/>
          <w:szCs w:val="28"/>
        </w:rPr>
        <w:t>情况表</w:t>
      </w:r>
    </w:p>
    <w:tbl>
      <w:tblPr>
        <w:tblStyle w:val="12"/>
        <w:tblW w:w="868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97"/>
        <w:gridCol w:w="1753"/>
        <w:gridCol w:w="2791"/>
        <w:gridCol w:w="1186"/>
        <w:gridCol w:w="1186"/>
        <w:gridCol w:w="12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序号</w:t>
            </w:r>
          </w:p>
        </w:tc>
        <w:tc>
          <w:tcPr>
            <w:tcW w:w="1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区主管单位</w:t>
            </w: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一级项目</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安排项目数（个）</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完成当年度计划的项目数（个）</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2"/>
                <w:szCs w:val="22"/>
                <w:u w:val="none"/>
              </w:rPr>
            </w:pPr>
            <w:r>
              <w:rPr>
                <w:rFonts w:hint="eastAsia" w:ascii="仿宋_GB2312" w:hAnsi="仿宋_GB2312" w:eastAsia="仿宋_GB2312" w:cs="仿宋_GB2312"/>
                <w:b w:val="0"/>
                <w:bCs w:val="0"/>
                <w:i w:val="0"/>
                <w:iCs w:val="0"/>
                <w:color w:val="000000"/>
                <w:kern w:val="0"/>
                <w:sz w:val="22"/>
                <w:szCs w:val="22"/>
                <w:u w:val="none"/>
                <w:lang w:val="en-US" w:eastAsia="zh-CN" w:bidi="ar"/>
              </w:rPr>
              <w:t>项目完成率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曲江区合计</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103</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92</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89.32%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17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区农业农村局小计</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27</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21</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77.78%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7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农业农村局</w:t>
            </w: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推进农业绿色发展</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动植物疫病防控</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农田建设与管护</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85.71%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村庄基础设施建设</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农业生产能力提升</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8</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农村生活污水治理</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9</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畜牧业转型升级</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政策性农业保险省级财政保费补贴</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11</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构建现代乡村产业体系</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13</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农产品质量安全</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16</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kern w:val="0"/>
                <w:sz w:val="24"/>
                <w:szCs w:val="24"/>
                <w:u w:val="none"/>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驻镇帮镇扶村</w:t>
            </w:r>
          </w:p>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（提升产业发展水平）</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17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区水务局小计</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17</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16</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94.12%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17</w:t>
            </w:r>
          </w:p>
        </w:tc>
        <w:tc>
          <w:tcPr>
            <w:tcW w:w="17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水务局</w:t>
            </w: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全面推进河长制湖长制</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18</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农村水利水电</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19</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水利安全度汛</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6</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20</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水利工程运行管护</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21</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水库移民后期扶持</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22</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农村集中供水</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23</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水土保持</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24</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病险水库水闸除险加固</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r2bl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175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区自然资源局小计</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13</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13</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25</w:t>
            </w:r>
          </w:p>
        </w:tc>
        <w:tc>
          <w:tcPr>
            <w:tcW w:w="17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自然资源局</w:t>
            </w: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食用林产品质量安全</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26</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永久基本农田保护</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27</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林业有害生物防控</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29</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造林与生态修复</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32</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森林资源保护与监测</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33</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政策性森林保险省级财政保费补贴</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34</w:t>
            </w:r>
          </w:p>
        </w:tc>
        <w:tc>
          <w:tcPr>
            <w:tcW w:w="17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val="0"/>
                <w:bCs w:val="0"/>
                <w:i w:val="0"/>
                <w:iCs w:val="0"/>
                <w:color w:val="000000"/>
                <w:sz w:val="24"/>
                <w:szCs w:val="24"/>
                <w:u w:val="none"/>
              </w:rPr>
            </w:pP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林业产业发展</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35</w:t>
            </w:r>
          </w:p>
        </w:tc>
        <w:tc>
          <w:tcPr>
            <w:tcW w:w="1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交通运输局</w:t>
            </w: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四好农村路</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30</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96.77%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40</w:t>
            </w:r>
          </w:p>
        </w:tc>
        <w:tc>
          <w:tcPr>
            <w:tcW w:w="1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卫生健康局</w:t>
            </w: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驻镇帮镇扶村（提升镇域公共服务能力）</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3</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43</w:t>
            </w:r>
          </w:p>
        </w:tc>
        <w:tc>
          <w:tcPr>
            <w:tcW w:w="1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文化广电旅游体育局</w:t>
            </w: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驻镇帮镇扶村（提升镇域公共服务能力）</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2</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45</w:t>
            </w:r>
          </w:p>
        </w:tc>
        <w:tc>
          <w:tcPr>
            <w:tcW w:w="1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住房和城乡建设管理局</w:t>
            </w: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驻镇帮镇扶村（提升镇村公共基础设施水平）</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8</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7</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87.50%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46</w:t>
            </w:r>
          </w:p>
        </w:tc>
        <w:tc>
          <w:tcPr>
            <w:tcW w:w="1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气象局</w:t>
            </w: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驻镇帮镇扶村（提升镇域公共服务能力）</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47</w:t>
            </w:r>
          </w:p>
        </w:tc>
        <w:tc>
          <w:tcPr>
            <w:tcW w:w="17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财政局</w:t>
            </w:r>
          </w:p>
        </w:tc>
        <w:tc>
          <w:tcPr>
            <w:tcW w:w="2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工作经费</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1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100.00%</w:t>
            </w:r>
          </w:p>
        </w:tc>
      </w:tr>
    </w:tbl>
    <w:p>
      <w:pPr>
        <w:pStyle w:val="15"/>
        <w:ind w:left="0" w:leftChars="0" w:firstLine="0" w:firstLineChars="0"/>
        <w:rPr>
          <w:rFonts w:hint="eastAsia" w:ascii="仿宋_GB2312" w:hAnsi="仿宋_GB2312" w:eastAsia="仿宋_GB2312" w:cs="仿宋_GB2312"/>
          <w:b w:val="0"/>
          <w:bCs w:val="0"/>
          <w:kern w:val="2"/>
          <w:sz w:val="32"/>
          <w:highlight w:val="none"/>
        </w:rPr>
      </w:pPr>
    </w:p>
    <w:p>
      <w:pPr>
        <w:pStyle w:val="15"/>
        <w:rPr>
          <w:rFonts w:hint="eastAsia" w:ascii="仿宋_GB2312" w:hAnsi="仿宋_GB2312" w:eastAsia="仿宋_GB2312" w:cs="仿宋_GB2312"/>
          <w:b w:val="0"/>
          <w:bCs w:val="0"/>
          <w:kern w:val="2"/>
          <w:sz w:val="32"/>
          <w:highlight w:val="none"/>
          <w:lang w:eastAsia="zh-CN"/>
        </w:rPr>
      </w:pPr>
      <w:bookmarkStart w:id="22" w:name="_Toc96960260"/>
      <w:r>
        <w:rPr>
          <w:rFonts w:hint="eastAsia" w:ascii="仿宋_GB2312" w:hAnsi="仿宋_GB2312" w:eastAsia="仿宋_GB2312" w:cs="仿宋_GB2312"/>
          <w:b w:val="0"/>
          <w:bCs w:val="0"/>
          <w:kern w:val="2"/>
          <w:sz w:val="32"/>
          <w:highlight w:val="none"/>
          <w:lang w:eastAsia="zh-CN"/>
        </w:rPr>
        <w:t>（</w:t>
      </w:r>
      <w:r>
        <w:rPr>
          <w:rFonts w:hint="eastAsia" w:ascii="仿宋_GB2312" w:hAnsi="仿宋_GB2312" w:eastAsia="仿宋_GB2312" w:cs="仿宋_GB2312"/>
          <w:b w:val="0"/>
          <w:bCs w:val="0"/>
          <w:kern w:val="2"/>
          <w:sz w:val="32"/>
          <w:highlight w:val="none"/>
          <w:lang w:val="en-US" w:eastAsia="zh-CN"/>
        </w:rPr>
        <w:t>2</w:t>
      </w:r>
      <w:r>
        <w:rPr>
          <w:rFonts w:hint="eastAsia" w:ascii="仿宋_GB2312" w:hAnsi="仿宋_GB2312" w:eastAsia="仿宋_GB2312" w:cs="仿宋_GB2312"/>
          <w:b w:val="0"/>
          <w:bCs w:val="0"/>
          <w:kern w:val="2"/>
          <w:sz w:val="32"/>
          <w:highlight w:val="none"/>
          <w:lang w:eastAsia="zh-CN"/>
        </w:rPr>
        <w:t>）农产品质量安全监测。</w:t>
      </w:r>
    </w:p>
    <w:p>
      <w:pPr>
        <w:ind w:firstLine="640" w:firstLineChars="200"/>
        <w:rPr>
          <w:rFonts w:hint="eastAsia" w:ascii="仿宋_GB2312" w:hAnsi="仿宋_GB2312" w:eastAsia="仿宋_GB2312" w:cs="仿宋_GB2312"/>
          <w:b w:val="0"/>
          <w:bCs w:val="0"/>
          <w:kern w:val="2"/>
          <w:sz w:val="32"/>
          <w:highlight w:val="none"/>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分值2分，不</w:t>
      </w:r>
      <w:r>
        <w:rPr>
          <w:rFonts w:hint="eastAsia" w:ascii="仿宋_GB2312" w:hAnsi="仿宋_GB2312" w:eastAsia="仿宋_GB2312" w:cs="仿宋_GB2312"/>
          <w:sz w:val="32"/>
        </w:rPr>
        <w:t>扣分</w:t>
      </w:r>
      <w:r>
        <w:rPr>
          <w:rFonts w:hint="eastAsia" w:ascii="仿宋_GB2312" w:hAnsi="仿宋_GB2312" w:eastAsia="仿宋_GB2312" w:cs="仿宋_GB2312"/>
          <w:sz w:val="32"/>
          <w:highlight w:val="none"/>
          <w:lang w:val="en-US" w:eastAsia="zh-CN"/>
        </w:rPr>
        <w:t>，得2分。</w:t>
      </w:r>
    </w:p>
    <w:p>
      <w:pPr>
        <w:pStyle w:val="15"/>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 w:val="0"/>
          <w:bCs w:val="0"/>
          <w:kern w:val="2"/>
          <w:sz w:val="32"/>
          <w:highlight w:val="none"/>
          <w:lang w:val="en-US" w:eastAsia="zh-CN"/>
        </w:rPr>
        <w:t>2023年曲江区完成</w:t>
      </w:r>
      <w:r>
        <w:rPr>
          <w:rFonts w:hint="eastAsia" w:ascii="仿宋_GB2312" w:hAnsi="仿宋_GB2312" w:eastAsia="仿宋_GB2312" w:cs="仿宋_GB2312"/>
          <w:b w:val="0"/>
          <w:bCs w:val="0"/>
          <w:kern w:val="2"/>
          <w:sz w:val="32"/>
          <w:highlight w:val="none"/>
          <w:lang w:eastAsia="zh-CN"/>
        </w:rPr>
        <w:t>农产品质量安全风险监测样本</w:t>
      </w:r>
      <w:r>
        <w:rPr>
          <w:rFonts w:hint="eastAsia" w:ascii="仿宋_GB2312" w:hAnsi="仿宋_GB2312" w:eastAsia="仿宋_GB2312" w:cs="仿宋_GB2312"/>
          <w:b w:val="0"/>
          <w:bCs w:val="0"/>
          <w:kern w:val="2"/>
          <w:sz w:val="32"/>
          <w:highlight w:val="none"/>
          <w:lang w:val="en-US" w:eastAsia="zh-CN"/>
        </w:rPr>
        <w:t>350批次，</w:t>
      </w:r>
      <w:r>
        <w:rPr>
          <w:rFonts w:hint="eastAsia" w:ascii="仿宋_GB2312" w:hAnsi="仿宋_GB2312" w:eastAsia="仿宋_GB2312" w:cs="仿宋_GB2312"/>
          <w:b w:val="0"/>
          <w:bCs w:val="0"/>
          <w:kern w:val="2"/>
          <w:sz w:val="32"/>
          <w:highlight w:val="none"/>
          <w:lang w:eastAsia="zh-CN"/>
        </w:rPr>
        <w:t>农产品质量安全监督抽查样品</w:t>
      </w:r>
      <w:r>
        <w:rPr>
          <w:rFonts w:hint="eastAsia" w:ascii="仿宋_GB2312" w:hAnsi="仿宋_GB2312" w:eastAsia="仿宋_GB2312" w:cs="仿宋_GB2312"/>
          <w:b w:val="0"/>
          <w:bCs w:val="0"/>
          <w:kern w:val="2"/>
          <w:sz w:val="32"/>
          <w:highlight w:val="none"/>
          <w:lang w:val="en-US" w:eastAsia="zh-CN"/>
        </w:rPr>
        <w:t>50批次，合计400批次</w:t>
      </w:r>
      <w:r>
        <w:rPr>
          <w:rFonts w:hint="eastAsia" w:ascii="仿宋_GB2312" w:hAnsi="仿宋_GB2312" w:eastAsia="仿宋_GB2312" w:cs="仿宋_GB2312"/>
          <w:b w:val="0"/>
          <w:bCs w:val="0"/>
          <w:kern w:val="2"/>
          <w:sz w:val="32"/>
          <w:highlight w:val="none"/>
          <w:lang w:eastAsia="zh-CN"/>
        </w:rPr>
        <w:t>；食用林产品（油茶籽）质量安全监测28批次。</w:t>
      </w:r>
    </w:p>
    <w:p>
      <w:pPr>
        <w:pStyle w:val="15"/>
        <w:rPr>
          <w:rFonts w:hint="eastAsia"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b w:val="0"/>
          <w:bCs w:val="0"/>
          <w:kern w:val="2"/>
          <w:sz w:val="32"/>
          <w:highlight w:val="none"/>
          <w:lang w:val="en-US" w:eastAsia="zh-CN"/>
        </w:rPr>
        <w:t>完成了2023年度任务目标。</w:t>
      </w:r>
    </w:p>
    <w:p>
      <w:pPr>
        <w:pStyle w:val="15"/>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 w:val="0"/>
          <w:bCs w:val="0"/>
          <w:kern w:val="2"/>
          <w:sz w:val="32"/>
          <w:highlight w:val="none"/>
          <w:lang w:eastAsia="zh-CN"/>
        </w:rPr>
        <w:t>（</w:t>
      </w:r>
      <w:r>
        <w:rPr>
          <w:rFonts w:hint="eastAsia" w:ascii="仿宋_GB2312" w:hAnsi="仿宋_GB2312" w:eastAsia="仿宋_GB2312" w:cs="仿宋_GB2312"/>
          <w:b w:val="0"/>
          <w:bCs w:val="0"/>
          <w:kern w:val="2"/>
          <w:sz w:val="32"/>
          <w:highlight w:val="none"/>
          <w:lang w:val="en-US" w:eastAsia="zh-CN"/>
        </w:rPr>
        <w:t>3</w:t>
      </w:r>
      <w:r>
        <w:rPr>
          <w:rFonts w:hint="eastAsia" w:ascii="仿宋_GB2312" w:hAnsi="仿宋_GB2312" w:eastAsia="仿宋_GB2312" w:cs="仿宋_GB2312"/>
          <w:b w:val="0"/>
          <w:bCs w:val="0"/>
          <w:kern w:val="2"/>
          <w:sz w:val="32"/>
          <w:highlight w:val="none"/>
          <w:lang w:eastAsia="zh-CN"/>
        </w:rPr>
        <w:t>）高标准农田建设。</w:t>
      </w:r>
    </w:p>
    <w:p>
      <w:pPr>
        <w:ind w:firstLine="640" w:firstLineChars="200"/>
        <w:rPr>
          <w:rFonts w:hint="eastAsia" w:ascii="仿宋_GB2312" w:hAnsi="仿宋_GB2312" w:eastAsia="仿宋_GB2312" w:cs="仿宋_GB2312"/>
          <w:b w:val="0"/>
          <w:bCs w:val="0"/>
          <w:kern w:val="2"/>
          <w:sz w:val="32"/>
          <w:highlight w:val="none"/>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分值3分，不</w:t>
      </w:r>
      <w:r>
        <w:rPr>
          <w:rFonts w:hint="eastAsia" w:ascii="仿宋_GB2312" w:hAnsi="仿宋_GB2312" w:eastAsia="仿宋_GB2312" w:cs="仿宋_GB2312"/>
          <w:sz w:val="32"/>
        </w:rPr>
        <w:t>扣分</w:t>
      </w:r>
      <w:r>
        <w:rPr>
          <w:rFonts w:hint="eastAsia" w:ascii="仿宋_GB2312" w:hAnsi="仿宋_GB2312" w:eastAsia="仿宋_GB2312" w:cs="仿宋_GB2312"/>
          <w:sz w:val="32"/>
          <w:highlight w:val="none"/>
          <w:lang w:val="en-US" w:eastAsia="zh-CN"/>
        </w:rPr>
        <w:t>，得3分。</w:t>
      </w:r>
    </w:p>
    <w:p>
      <w:pPr>
        <w:spacing w:line="360" w:lineRule="auto"/>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b w:val="0"/>
          <w:bCs w:val="0"/>
          <w:kern w:val="2"/>
          <w:sz w:val="32"/>
          <w:highlight w:val="none"/>
          <w:lang w:val="en-US" w:eastAsia="zh-CN"/>
        </w:rPr>
        <w:t>2023年曲江区实施了2023年度韶关市曲江区高标准农田改造提升建设项目，该项目分6个标段建设，新建总面积6500亩、改造提升总面积17600亩（</w:t>
      </w:r>
      <w:r>
        <w:rPr>
          <w:rFonts w:hint="eastAsia" w:ascii="仿宋_GB2312" w:hAnsi="仿宋_GB2312" w:eastAsia="仿宋_GB2312" w:cs="仿宋_GB2312"/>
          <w:sz w:val="32"/>
        </w:rPr>
        <w:t>详见表</w:t>
      </w:r>
      <w:r>
        <w:rPr>
          <w:rFonts w:hint="eastAsia" w:ascii="仿宋_GB2312" w:hAnsi="仿宋_GB2312" w:eastAsia="仿宋_GB2312" w:cs="仿宋_GB2312"/>
          <w:sz w:val="32"/>
          <w:lang w:val="en-US" w:eastAsia="zh-CN"/>
        </w:rPr>
        <w:t>3-5</w:t>
      </w:r>
      <w:r>
        <w:rPr>
          <w:rFonts w:hint="eastAsia" w:ascii="仿宋_GB2312" w:hAnsi="仿宋_GB2312" w:eastAsia="仿宋_GB2312" w:cs="仿宋_GB2312"/>
          <w:b w:val="0"/>
          <w:bCs w:val="0"/>
          <w:kern w:val="2"/>
          <w:sz w:val="32"/>
          <w:highlight w:val="none"/>
          <w:lang w:val="en-US" w:eastAsia="zh-CN"/>
        </w:rPr>
        <w:t>）。</w:t>
      </w:r>
      <w:r>
        <w:rPr>
          <w:rFonts w:hint="eastAsia" w:ascii="仿宋_GB2312" w:hAnsi="仿宋_GB2312" w:eastAsia="仿宋_GB2312" w:cs="仿宋_GB2312"/>
          <w:b w:val="0"/>
          <w:bCs w:val="0"/>
          <w:kern w:val="2"/>
          <w:sz w:val="32"/>
          <w:highlight w:val="none"/>
        </w:rPr>
        <w:t>截至</w:t>
      </w:r>
      <w:r>
        <w:rPr>
          <w:rFonts w:hint="eastAsia" w:ascii="仿宋_GB2312" w:hAnsi="仿宋_GB2312" w:eastAsia="仿宋_GB2312" w:cs="仿宋_GB2312"/>
          <w:b w:val="0"/>
          <w:bCs w:val="0"/>
          <w:kern w:val="2"/>
          <w:sz w:val="32"/>
          <w:highlight w:val="none"/>
          <w:lang w:eastAsia="zh-CN"/>
        </w:rPr>
        <w:t>2023</w:t>
      </w:r>
      <w:r>
        <w:rPr>
          <w:rFonts w:hint="eastAsia" w:ascii="仿宋_GB2312" w:hAnsi="仿宋_GB2312" w:eastAsia="仿宋_GB2312" w:cs="仿宋_GB2312"/>
          <w:b w:val="0"/>
          <w:bCs w:val="0"/>
          <w:kern w:val="2"/>
          <w:sz w:val="32"/>
          <w:highlight w:val="none"/>
        </w:rPr>
        <w:t>年底，</w:t>
      </w:r>
      <w:r>
        <w:rPr>
          <w:rFonts w:hint="eastAsia" w:ascii="仿宋_GB2312" w:hAnsi="仿宋_GB2312" w:eastAsia="仿宋_GB2312" w:cs="仿宋_GB2312"/>
          <w:b w:val="0"/>
          <w:bCs w:val="0"/>
          <w:kern w:val="2"/>
          <w:sz w:val="32"/>
          <w:highlight w:val="none"/>
          <w:lang w:val="en-US" w:eastAsia="zh-CN"/>
        </w:rPr>
        <w:t>全部项目均</w:t>
      </w:r>
      <w:r>
        <w:rPr>
          <w:rFonts w:hint="eastAsia" w:ascii="仿宋_GB2312" w:hAnsi="仿宋_GB2312" w:eastAsia="仿宋_GB2312" w:cs="仿宋_GB2312"/>
          <w:b w:val="0"/>
          <w:bCs w:val="0"/>
          <w:kern w:val="2"/>
          <w:sz w:val="32"/>
          <w:highlight w:val="none"/>
        </w:rPr>
        <w:t>已完工</w:t>
      </w:r>
      <w:r>
        <w:rPr>
          <w:rFonts w:hint="eastAsia" w:ascii="仿宋_GB2312" w:hAnsi="仿宋_GB2312" w:eastAsia="仿宋_GB2312" w:cs="仿宋_GB2312"/>
          <w:b w:val="0"/>
          <w:bCs w:val="0"/>
          <w:kern w:val="2"/>
          <w:sz w:val="32"/>
          <w:highlight w:val="none"/>
          <w:lang w:eastAsia="zh-CN"/>
        </w:rPr>
        <w:t>，</w:t>
      </w:r>
      <w:r>
        <w:rPr>
          <w:rFonts w:hint="eastAsia" w:ascii="仿宋_GB2312" w:hAnsi="仿宋_GB2312" w:eastAsia="仿宋_GB2312" w:cs="仿宋_GB2312"/>
          <w:b w:val="0"/>
          <w:bCs w:val="0"/>
          <w:kern w:val="2"/>
          <w:sz w:val="32"/>
          <w:highlight w:val="none"/>
          <w:lang w:val="en-US" w:eastAsia="zh-CN"/>
        </w:rPr>
        <w:t>完成了年度建设任务</w:t>
      </w:r>
      <w:r>
        <w:rPr>
          <w:rFonts w:hint="eastAsia" w:ascii="仿宋_GB2312" w:eastAsia="仿宋_GB2312"/>
          <w:bCs/>
          <w:sz w:val="32"/>
          <w:szCs w:val="32"/>
          <w:lang w:eastAsia="zh-CN"/>
        </w:rPr>
        <w:t>。</w:t>
      </w:r>
    </w:p>
    <w:p>
      <w:pPr>
        <w:pStyle w:val="18"/>
        <w:jc w:val="center"/>
      </w:pPr>
      <w:r>
        <w:rPr>
          <w:rFonts w:hint="eastAsia" w:ascii="黑体" w:hAnsi="黑体" w:eastAsia="黑体" w:cs="Times New Roman"/>
          <w:kern w:val="2"/>
          <w:sz w:val="28"/>
          <w:szCs w:val="28"/>
        </w:rPr>
        <w:t>表</w:t>
      </w:r>
      <w:r>
        <w:rPr>
          <w:rFonts w:hint="eastAsia" w:ascii="黑体" w:hAnsi="黑体" w:eastAsia="黑体" w:cs="Times New Roman"/>
          <w:kern w:val="2"/>
          <w:sz w:val="28"/>
          <w:szCs w:val="28"/>
          <w:lang w:val="en-US" w:eastAsia="zh-CN"/>
        </w:rPr>
        <w:t>3-5</w:t>
      </w:r>
      <w:r>
        <w:rPr>
          <w:rFonts w:hint="eastAsia" w:ascii="黑体" w:hAnsi="黑体" w:eastAsia="黑体" w:cs="Times New Roman"/>
          <w:kern w:val="2"/>
          <w:sz w:val="28"/>
          <w:szCs w:val="28"/>
        </w:rPr>
        <w:t xml:space="preserve">  曲江区</w:t>
      </w:r>
      <w:r>
        <w:rPr>
          <w:rFonts w:hint="eastAsia" w:ascii="黑体" w:hAnsi="黑体" w:eastAsia="黑体" w:cs="Times New Roman"/>
          <w:kern w:val="2"/>
          <w:sz w:val="28"/>
          <w:szCs w:val="28"/>
          <w:lang w:eastAsia="zh-CN"/>
        </w:rPr>
        <w:t>2023</w:t>
      </w:r>
      <w:r>
        <w:rPr>
          <w:rFonts w:hint="eastAsia" w:ascii="黑体" w:hAnsi="黑体" w:eastAsia="黑体" w:cs="Times New Roman"/>
          <w:kern w:val="2"/>
          <w:sz w:val="28"/>
          <w:szCs w:val="28"/>
        </w:rPr>
        <w:t>年</w:t>
      </w:r>
      <w:r>
        <w:rPr>
          <w:rFonts w:hint="eastAsia" w:ascii="黑体" w:hAnsi="黑体" w:eastAsia="黑体" w:cs="Times New Roman"/>
          <w:kern w:val="2"/>
          <w:sz w:val="28"/>
          <w:szCs w:val="28"/>
          <w:lang w:val="en-US" w:eastAsia="zh-CN"/>
        </w:rPr>
        <w:t>度高标准农田建设</w:t>
      </w:r>
      <w:r>
        <w:rPr>
          <w:rFonts w:hint="eastAsia" w:ascii="黑体" w:hAnsi="黑体" w:eastAsia="黑体" w:cs="Times New Roman"/>
          <w:kern w:val="2"/>
          <w:sz w:val="28"/>
          <w:szCs w:val="28"/>
        </w:rPr>
        <w:t>情况表</w:t>
      </w:r>
    </w:p>
    <w:tbl>
      <w:tblPr>
        <w:tblStyle w:val="12"/>
        <w:tblW w:w="905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5"/>
        <w:gridCol w:w="3255"/>
        <w:gridCol w:w="3172"/>
        <w:gridCol w:w="975"/>
        <w:gridCol w:w="11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jc w:val="center"/>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序号</w:t>
            </w:r>
          </w:p>
        </w:tc>
        <w:tc>
          <w:tcPr>
            <w:tcW w:w="3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项目名称</w:t>
            </w:r>
          </w:p>
        </w:tc>
        <w:tc>
          <w:tcPr>
            <w:tcW w:w="3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项目范围</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新建面积（亩）</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改造提升面积（亩）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jc w:val="center"/>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w:t>
            </w:r>
          </w:p>
        </w:tc>
        <w:tc>
          <w:tcPr>
            <w:tcW w:w="3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2023年度韶关市曲江区大塘镇等3个镇高标准农田建设项目</w:t>
            </w:r>
          </w:p>
        </w:tc>
        <w:tc>
          <w:tcPr>
            <w:tcW w:w="3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大塘镇的历山村、其田村、新桥村、丈古岭村，枫湾镇的白水村、大笋村、枫湾村、新村村，小坑镇的上洞村、和洞村、黄洞村、下坪村等12个行政村</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2968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2"/>
                <w:szCs w:val="22"/>
                <w:u w:val="none"/>
                <w:lang w:eastAsia="zh-CN"/>
              </w:rPr>
            </w:pPr>
            <w:r>
              <w:rPr>
                <w:rFonts w:hint="eastAsia" w:ascii="仿宋_GB2312" w:hAnsi="宋体" w:eastAsia="仿宋_GB2312" w:cs="仿宋_GB2312"/>
                <w:i w:val="0"/>
                <w:iCs w:val="0"/>
                <w:color w:val="000000"/>
                <w:sz w:val="22"/>
                <w:szCs w:val="22"/>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jc w:val="center"/>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w:t>
            </w:r>
          </w:p>
        </w:tc>
        <w:tc>
          <w:tcPr>
            <w:tcW w:w="3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2023年度韶关市曲江区大塘镇左村村等2个村高标准农田改造提升建设项目</w:t>
            </w:r>
          </w:p>
        </w:tc>
        <w:tc>
          <w:tcPr>
            <w:tcW w:w="3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大塘镇左村村和丈古岭村2个行政村</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sz w:val="22"/>
                <w:szCs w:val="22"/>
                <w:u w:val="none"/>
                <w:lang w:eastAsia="zh-CN"/>
              </w:rPr>
              <w:t>—</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2646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jc w:val="center"/>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3</w:t>
            </w:r>
          </w:p>
        </w:tc>
        <w:tc>
          <w:tcPr>
            <w:tcW w:w="3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2023年度韶关市曲江区枫湾镇高标准农田改造提升建设项目（示范）</w:t>
            </w:r>
          </w:p>
        </w:tc>
        <w:tc>
          <w:tcPr>
            <w:tcW w:w="3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枫湾镇白水村、枫湾村、浪石村、石峰村、新村村等5个行政村</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sz w:val="22"/>
                <w:szCs w:val="22"/>
                <w:u w:val="none"/>
                <w:lang w:eastAsia="zh-CN"/>
              </w:rPr>
              <w:t>—</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4442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jc w:val="center"/>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w:t>
            </w:r>
          </w:p>
        </w:tc>
        <w:tc>
          <w:tcPr>
            <w:tcW w:w="3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2023年度韶关市曲江区罗坑镇罗坑村等2个村高标准农田改造提升建设项目</w:t>
            </w:r>
          </w:p>
        </w:tc>
        <w:tc>
          <w:tcPr>
            <w:tcW w:w="3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罗坑镇罗坑村和中心坝村2个行政村</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sz w:val="22"/>
                <w:szCs w:val="22"/>
                <w:u w:val="none"/>
                <w:lang w:eastAsia="zh-CN"/>
              </w:rPr>
              <w:t>—</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5419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jc w:val="center"/>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w:t>
            </w:r>
          </w:p>
        </w:tc>
        <w:tc>
          <w:tcPr>
            <w:tcW w:w="3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2023年度韶关市曲江区罗坑镇新塘村等2个村高标准农田改造提升建设项目</w:t>
            </w:r>
          </w:p>
        </w:tc>
        <w:tc>
          <w:tcPr>
            <w:tcW w:w="3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罗坑镇新洞村和新塘村2个行政村</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sz w:val="22"/>
                <w:szCs w:val="22"/>
                <w:u w:val="none"/>
                <w:lang w:eastAsia="zh-CN"/>
              </w:rPr>
              <w:t>—</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5093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jc w:val="center"/>
        </w:trPr>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6</w:t>
            </w:r>
          </w:p>
        </w:tc>
        <w:tc>
          <w:tcPr>
            <w:tcW w:w="32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2023年度韶关市曲江区樟市镇等4个镇高标准农田建设项目</w:t>
            </w:r>
          </w:p>
        </w:tc>
        <w:tc>
          <w:tcPr>
            <w:tcW w:w="3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罗坑镇罗坑村、樟市镇樟市村、白土镇河边村、马坝镇马坝村和南华村等5个行政村</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3532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sz w:val="22"/>
                <w:szCs w:val="22"/>
                <w:u w:val="none"/>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695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合     计</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6500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17600</w:t>
            </w:r>
          </w:p>
        </w:tc>
      </w:tr>
    </w:tbl>
    <w:p>
      <w:pPr>
        <w:pStyle w:val="15"/>
        <w:ind w:left="0" w:leftChars="0" w:firstLine="0" w:firstLineChars="0"/>
        <w:rPr>
          <w:rFonts w:hint="eastAsia" w:ascii="仿宋_GB2312" w:hAnsi="仿宋_GB2312" w:eastAsia="仿宋_GB2312" w:cs="仿宋_GB2312"/>
          <w:b w:val="0"/>
          <w:bCs w:val="0"/>
          <w:kern w:val="2"/>
          <w:sz w:val="32"/>
          <w:highlight w:val="none"/>
          <w:lang w:val="en-US" w:eastAsia="zh-CN"/>
        </w:rPr>
      </w:pPr>
    </w:p>
    <w:p>
      <w:pPr>
        <w:spacing w:line="360" w:lineRule="auto"/>
        <w:ind w:firstLine="640" w:firstLineChars="200"/>
        <w:outlineLvl w:val="0"/>
        <w:rPr>
          <w:rFonts w:hint="eastAsia"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b w:val="0"/>
          <w:bCs w:val="0"/>
          <w:kern w:val="2"/>
          <w:sz w:val="32"/>
          <w:highlight w:val="none"/>
          <w:lang w:val="en-US" w:eastAsia="zh-CN"/>
        </w:rPr>
        <w:t>（3）受污染耕地安全利用和种植结构调整</w:t>
      </w:r>
    </w:p>
    <w:p>
      <w:pPr>
        <w:ind w:firstLine="640" w:firstLineChars="200"/>
        <w:rPr>
          <w:rFonts w:hint="eastAsia" w:ascii="仿宋_GB2312" w:hAnsi="仿宋_GB2312" w:eastAsia="仿宋_GB2312" w:cs="仿宋_GB2312"/>
          <w:b w:val="0"/>
          <w:bCs w:val="0"/>
          <w:kern w:val="2"/>
          <w:sz w:val="32"/>
          <w:highlight w:val="none"/>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分值2分，不</w:t>
      </w:r>
      <w:r>
        <w:rPr>
          <w:rFonts w:hint="eastAsia" w:ascii="仿宋_GB2312" w:hAnsi="仿宋_GB2312" w:eastAsia="仿宋_GB2312" w:cs="仿宋_GB2312"/>
          <w:sz w:val="32"/>
        </w:rPr>
        <w:t>扣分</w:t>
      </w:r>
      <w:r>
        <w:rPr>
          <w:rFonts w:hint="eastAsia" w:ascii="仿宋_GB2312" w:hAnsi="仿宋_GB2312" w:eastAsia="仿宋_GB2312" w:cs="仿宋_GB2312"/>
          <w:sz w:val="32"/>
          <w:highlight w:val="none"/>
          <w:lang w:val="en-US" w:eastAsia="zh-CN"/>
        </w:rPr>
        <w:t>，得2分。</w:t>
      </w:r>
    </w:p>
    <w:p>
      <w:pPr>
        <w:spacing w:line="360" w:lineRule="auto"/>
        <w:ind w:firstLine="640" w:firstLineChars="200"/>
        <w:outlineLvl w:val="0"/>
        <w:rPr>
          <w:rFonts w:hint="eastAsia" w:ascii="仿宋_GB2312" w:hAnsi="仿宋_GB2312" w:eastAsia="仿宋_GB2312" w:cs="仿宋_GB2312"/>
          <w:kern w:val="2"/>
          <w:sz w:val="32"/>
          <w:highlight w:val="none"/>
          <w:lang w:val="en-US" w:eastAsia="zh-CN"/>
        </w:rPr>
      </w:pPr>
      <w:r>
        <w:rPr>
          <w:rFonts w:hint="eastAsia" w:ascii="仿宋_GB2312" w:hAnsi="仿宋_GB2312" w:eastAsia="仿宋_GB2312" w:cs="仿宋_GB2312"/>
          <w:kern w:val="2"/>
          <w:sz w:val="32"/>
          <w:highlight w:val="none"/>
          <w:lang w:val="en-US" w:eastAsia="zh-CN"/>
        </w:rPr>
        <w:t>曲江区2023年度耕地污染源头防控与安全利用工作主要分安全利用类耕地和严格管控类耕地两部分实施：</w:t>
      </w:r>
    </w:p>
    <w:p>
      <w:pPr>
        <w:spacing w:line="360" w:lineRule="auto"/>
        <w:ind w:firstLine="640" w:firstLineChars="200"/>
        <w:outlineLvl w:val="0"/>
        <w:rPr>
          <w:rFonts w:hint="eastAsia"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b w:val="0"/>
          <w:bCs w:val="0"/>
          <w:kern w:val="2"/>
          <w:sz w:val="32"/>
          <w:highlight w:val="none"/>
          <w:lang w:val="en-US" w:eastAsia="zh-CN"/>
        </w:rPr>
        <w:t>2023年曲江区实施了韶关市曲江区2023年受污染耕地安全利用项目、韶关市曲江区2023年受污染耕地信息管理项目、韶关市曲江区2023年种植结构调整补助项目等三个受污染耕地安全利用和种植结构调整项目，均已按期完工。受污染耕地实现安全利用的面积达到98292.74亩，重度污染耕地种植结构调整或退耕还林面积达到18402.27亩，完成了2023年度任务目标。</w:t>
      </w:r>
    </w:p>
    <w:p>
      <w:pPr>
        <w:pStyle w:val="1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Cs/>
          <w:sz w:val="32"/>
          <w:szCs w:val="32"/>
          <w:lang w:val="en-US" w:eastAsia="zh-CN"/>
        </w:rPr>
        <w:t>第三次全国土壤普查</w:t>
      </w:r>
    </w:p>
    <w:p>
      <w:pPr>
        <w:pStyle w:val="15"/>
        <w:rPr>
          <w:rFonts w:hint="eastAsia"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分值2分，不</w:t>
      </w:r>
      <w:r>
        <w:rPr>
          <w:rFonts w:hint="eastAsia" w:ascii="仿宋_GB2312" w:hAnsi="仿宋_GB2312" w:eastAsia="仿宋_GB2312" w:cs="仿宋_GB2312"/>
          <w:sz w:val="32"/>
        </w:rPr>
        <w:t>扣分</w:t>
      </w:r>
      <w:r>
        <w:rPr>
          <w:rFonts w:hint="eastAsia" w:ascii="仿宋_GB2312" w:hAnsi="仿宋_GB2312" w:eastAsia="仿宋_GB2312" w:cs="仿宋_GB2312"/>
          <w:sz w:val="32"/>
          <w:highlight w:val="none"/>
          <w:lang w:val="en-US" w:eastAsia="zh-CN"/>
        </w:rPr>
        <w:t>，得2分。</w:t>
      </w:r>
    </w:p>
    <w:p>
      <w:pPr>
        <w:pStyle w:val="15"/>
        <w:rPr>
          <w:rFonts w:hint="eastAsia"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b w:val="0"/>
          <w:bCs w:val="0"/>
          <w:kern w:val="2"/>
          <w:sz w:val="32"/>
          <w:highlight w:val="none"/>
          <w:lang w:val="en-US" w:eastAsia="zh-CN"/>
        </w:rPr>
        <w:t>韶关市曲江区第三次全国土壤普查实施周期为2023-2025年分三年实施，主要工作内容有表层调查样点的外业调查与采样；土壤样品制备、流转及保存；土壤样品检测；土壤宣传培训与技术指导、全程数据审核与质量控制、土壤类型图验证评价、成果汇编等。2023年度任务目标为外业调查采样工作完成率50%以上，内业样品检测工作完成率30%以上。截至2023年12月底，曲江区已完成全部608个表层样点的调查采样工作，外业调查采样工作完成率100%；完成288个表层样点检测工作，检测工作完成47.37%；完成了年度任务目标。</w:t>
      </w:r>
    </w:p>
    <w:p>
      <w:pPr>
        <w:pStyle w:val="15"/>
        <w:numPr>
          <w:ilvl w:val="0"/>
          <w:numId w:val="1"/>
        </w:numPr>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 w:val="0"/>
          <w:bCs w:val="0"/>
          <w:kern w:val="2"/>
          <w:sz w:val="32"/>
          <w:highlight w:val="none"/>
          <w:lang w:eastAsia="zh-CN"/>
        </w:rPr>
        <w:t>河湖管护</w:t>
      </w:r>
    </w:p>
    <w:p>
      <w:pPr>
        <w:pStyle w:val="15"/>
        <w:numPr>
          <w:ilvl w:val="0"/>
          <w:numId w:val="0"/>
        </w:numPr>
        <w:ind w:firstLine="640" w:firstLineChars="200"/>
        <w:rPr>
          <w:rFonts w:hint="eastAsia"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分值1分，不</w:t>
      </w:r>
      <w:r>
        <w:rPr>
          <w:rFonts w:hint="eastAsia" w:ascii="仿宋_GB2312" w:hAnsi="仿宋_GB2312" w:eastAsia="仿宋_GB2312" w:cs="仿宋_GB2312"/>
          <w:sz w:val="32"/>
        </w:rPr>
        <w:t>扣分</w:t>
      </w:r>
      <w:r>
        <w:rPr>
          <w:rFonts w:hint="eastAsia" w:ascii="仿宋_GB2312" w:hAnsi="仿宋_GB2312" w:eastAsia="仿宋_GB2312" w:cs="仿宋_GB2312"/>
          <w:sz w:val="32"/>
          <w:highlight w:val="none"/>
          <w:lang w:val="en-US" w:eastAsia="zh-CN"/>
        </w:rPr>
        <w:t>，得1分。</w:t>
      </w:r>
    </w:p>
    <w:p>
      <w:pPr>
        <w:pStyle w:val="15"/>
        <w:numPr>
          <w:ilvl w:val="0"/>
          <w:numId w:val="0"/>
        </w:numPr>
        <w:ind w:firstLine="640" w:firstLineChars="200"/>
        <w:rPr>
          <w:rFonts w:hint="eastAsia"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b w:val="0"/>
          <w:bCs w:val="0"/>
          <w:kern w:val="2"/>
          <w:sz w:val="32"/>
          <w:highlight w:val="none"/>
          <w:lang w:val="en-US" w:eastAsia="zh-CN"/>
        </w:rPr>
        <w:t>2023年曲江区根据《流域面积50～1000平方公里河流岸线规划任务清单（一市一单）》实施韶关市曲江区流域面积50-1000平方公里河道水域岸线保护与利用规划，实施期为2023-2025年三个年度共20条河流，河道总长329.23km，主要内容为进行岸线保护与利用现状分析、岸线规划目标确定、岸线保护目标与开发利用控制条件分析、岸线控制线和功能区划分、岸线管理要求制定、规划环境影响评价等方面。该项目于2023年8月正式开展编制工作，截至2023年12月底，已完成18条河流相关工作任务，河道总长316.01km，占总工作量的95.98%，超额完成年度任务目标。</w:t>
      </w:r>
    </w:p>
    <w:p>
      <w:pPr>
        <w:pStyle w:val="15"/>
        <w:numPr>
          <w:ilvl w:val="0"/>
          <w:numId w:val="1"/>
        </w:numPr>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 w:val="0"/>
          <w:bCs w:val="0"/>
          <w:kern w:val="2"/>
          <w:sz w:val="32"/>
          <w:highlight w:val="none"/>
          <w:lang w:eastAsia="zh-CN"/>
        </w:rPr>
        <w:t>病险水库除险加固</w:t>
      </w:r>
    </w:p>
    <w:p>
      <w:pPr>
        <w:pStyle w:val="15"/>
        <w:numPr>
          <w:ilvl w:val="0"/>
          <w:numId w:val="0"/>
        </w:numPr>
        <w:ind w:firstLine="640" w:firstLineChars="200"/>
        <w:rPr>
          <w:rFonts w:hint="eastAsia"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分值2分，不</w:t>
      </w:r>
      <w:r>
        <w:rPr>
          <w:rFonts w:hint="eastAsia" w:ascii="仿宋_GB2312" w:hAnsi="仿宋_GB2312" w:eastAsia="仿宋_GB2312" w:cs="仿宋_GB2312"/>
          <w:sz w:val="32"/>
        </w:rPr>
        <w:t>扣分</w:t>
      </w:r>
      <w:r>
        <w:rPr>
          <w:rFonts w:hint="eastAsia" w:ascii="仿宋_GB2312" w:hAnsi="仿宋_GB2312" w:eastAsia="仿宋_GB2312" w:cs="仿宋_GB2312"/>
          <w:sz w:val="32"/>
          <w:highlight w:val="none"/>
          <w:lang w:val="en-US" w:eastAsia="zh-CN"/>
        </w:rPr>
        <w:t>，得2分。</w:t>
      </w:r>
    </w:p>
    <w:p>
      <w:pPr>
        <w:pStyle w:val="15"/>
        <w:numPr>
          <w:ilvl w:val="0"/>
          <w:numId w:val="0"/>
        </w:numPr>
        <w:ind w:firstLine="640" w:firstLineChars="200"/>
        <w:rPr>
          <w:rFonts w:hint="default"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b w:val="0"/>
          <w:bCs w:val="0"/>
          <w:kern w:val="2"/>
          <w:sz w:val="32"/>
          <w:highlight w:val="none"/>
          <w:lang w:val="en-US" w:eastAsia="zh-CN"/>
        </w:rPr>
        <w:t>一是</w:t>
      </w:r>
      <w:r>
        <w:rPr>
          <w:rFonts w:hint="eastAsia" w:ascii="仿宋_GB2312" w:hAnsi="仿宋_GB2312" w:eastAsia="仿宋_GB2312" w:cs="仿宋_GB2312"/>
          <w:b w:val="0"/>
          <w:bCs w:val="0"/>
          <w:kern w:val="2"/>
          <w:sz w:val="32"/>
          <w:highlight w:val="none"/>
          <w:lang w:eastAsia="zh-CN"/>
        </w:rPr>
        <w:t>大中型病险水库除险加固</w:t>
      </w:r>
      <w:r>
        <w:rPr>
          <w:rFonts w:hint="eastAsia" w:ascii="仿宋_GB2312" w:hAnsi="仿宋_GB2312" w:eastAsia="仿宋_GB2312" w:cs="仿宋_GB2312"/>
          <w:b w:val="0"/>
          <w:bCs w:val="0"/>
          <w:kern w:val="2"/>
          <w:sz w:val="32"/>
          <w:highlight w:val="none"/>
          <w:lang w:val="en-US" w:eastAsia="zh-CN"/>
        </w:rPr>
        <w:t>。2023年韶关市曲江区苍村水库除险加固工程于2023年1月开工建设，2023年汛期来临前已完成溢洪道出口河道疏浚、溢洪道除险加固、大坝塑性混凝土防渗墙、边坡治理等主要工程，确保了苍村水库安全度汛。汛期结束后，该工程按施工计划实施了隧洞维修等项目，截至2023年12月底主体工程建设任务已基本完成，并于2024年1月16日通过分部验收。</w:t>
      </w:r>
    </w:p>
    <w:p>
      <w:pPr>
        <w:pStyle w:val="15"/>
        <w:numPr>
          <w:ilvl w:val="0"/>
          <w:numId w:val="0"/>
        </w:numPr>
        <w:ind w:firstLine="640" w:firstLineChars="200"/>
        <w:rPr>
          <w:rFonts w:hint="eastAsia"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b w:val="0"/>
          <w:bCs w:val="0"/>
          <w:kern w:val="2"/>
          <w:sz w:val="32"/>
          <w:highlight w:val="none"/>
          <w:lang w:val="en-US" w:eastAsia="zh-CN"/>
        </w:rPr>
        <w:t>二是</w:t>
      </w:r>
      <w:r>
        <w:rPr>
          <w:rFonts w:hint="eastAsia" w:ascii="仿宋_GB2312" w:hAnsi="仿宋_GB2312" w:eastAsia="仿宋_GB2312" w:cs="仿宋_GB2312"/>
          <w:b w:val="0"/>
          <w:bCs w:val="0"/>
          <w:kern w:val="2"/>
          <w:sz w:val="32"/>
          <w:highlight w:val="none"/>
          <w:lang w:eastAsia="zh-CN"/>
        </w:rPr>
        <w:t>现有小型病险水库除险加固</w:t>
      </w:r>
      <w:r>
        <w:rPr>
          <w:rFonts w:hint="eastAsia" w:ascii="仿宋_GB2312" w:hAnsi="仿宋_GB2312" w:eastAsia="仿宋_GB2312" w:cs="仿宋_GB2312"/>
          <w:b w:val="0"/>
          <w:bCs w:val="0"/>
          <w:kern w:val="2"/>
          <w:sz w:val="32"/>
          <w:highlight w:val="none"/>
          <w:lang w:val="en-US" w:eastAsia="zh-CN"/>
        </w:rPr>
        <w:t>。2023年曲江区实施小型水库、山塘、山洪沟、灌溉设施水毁修复改造加固提升工程，主要建设内容为对曲江区14宗小型水库、19宗山塘、2条山洪沟进行水毁修复、除险加固。项目分三个标段实施，其中一标段为14宗小型水库的水毁修复和除险加固，包括鬼窝水库、长陂水库、驳背水库、大坑仔水库、缸瓦坑水库、文胜水库、龙皇岩水库、南山水库、青塘水库、洋古水库、东湖水库、马岭干田水库、曹岭水库、空洞子水库，已于2023年12月完工，超额完成年度任务目标。</w:t>
      </w:r>
    </w:p>
    <w:p>
      <w:pPr>
        <w:pStyle w:val="15"/>
        <w:numPr>
          <w:ilvl w:val="0"/>
          <w:numId w:val="1"/>
        </w:numPr>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 w:val="0"/>
          <w:bCs w:val="0"/>
          <w:kern w:val="2"/>
          <w:sz w:val="32"/>
          <w:highlight w:val="none"/>
          <w:lang w:eastAsia="zh-CN"/>
        </w:rPr>
        <w:t>水土流失治理</w:t>
      </w:r>
    </w:p>
    <w:p>
      <w:pPr>
        <w:pStyle w:val="15"/>
        <w:numPr>
          <w:ilvl w:val="0"/>
          <w:numId w:val="0"/>
        </w:numPr>
        <w:ind w:firstLine="640" w:firstLineChars="200"/>
        <w:rPr>
          <w:rFonts w:hint="eastAsia" w:ascii="仿宋_GB2312" w:hAnsi="仿宋_GB2312" w:eastAsia="仿宋_GB2312" w:cs="仿宋_GB2312"/>
          <w:kern w:val="2"/>
          <w:sz w:val="32"/>
          <w:highlight w:val="none"/>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分值1分，不</w:t>
      </w:r>
      <w:r>
        <w:rPr>
          <w:rFonts w:hint="eastAsia" w:ascii="仿宋_GB2312" w:hAnsi="仿宋_GB2312" w:eastAsia="仿宋_GB2312" w:cs="仿宋_GB2312"/>
          <w:sz w:val="32"/>
        </w:rPr>
        <w:t>扣分</w:t>
      </w:r>
      <w:r>
        <w:rPr>
          <w:rFonts w:hint="eastAsia" w:ascii="仿宋_GB2312" w:hAnsi="仿宋_GB2312" w:eastAsia="仿宋_GB2312" w:cs="仿宋_GB2312"/>
          <w:sz w:val="32"/>
          <w:highlight w:val="none"/>
          <w:lang w:val="en-US" w:eastAsia="zh-CN"/>
        </w:rPr>
        <w:t>，得1分。</w:t>
      </w:r>
    </w:p>
    <w:p>
      <w:pPr>
        <w:pStyle w:val="15"/>
        <w:numPr>
          <w:ilvl w:val="0"/>
          <w:numId w:val="0"/>
        </w:numPr>
        <w:ind w:firstLine="640" w:firstLineChars="200"/>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kern w:val="2"/>
          <w:sz w:val="32"/>
          <w:highlight w:val="none"/>
          <w:lang w:val="en-US" w:eastAsia="zh-CN"/>
        </w:rPr>
        <w:t>2023年曲江区通过实施高质量水源（水土保持） 林造林共新增水土流失治理面积约0.3平方公里，完成年度任务目标</w:t>
      </w:r>
      <w:r>
        <w:rPr>
          <w:rFonts w:hint="eastAsia" w:ascii="仿宋_GB2312" w:hAnsi="仿宋_GB2312" w:eastAsia="仿宋_GB2312" w:cs="仿宋_GB2312"/>
          <w:b w:val="0"/>
          <w:bCs w:val="0"/>
          <w:kern w:val="2"/>
          <w:sz w:val="32"/>
          <w:highlight w:val="none"/>
          <w:lang w:eastAsia="zh-CN"/>
        </w:rPr>
        <w:t>。</w:t>
      </w:r>
    </w:p>
    <w:p>
      <w:pPr>
        <w:pStyle w:val="15"/>
        <w:numPr>
          <w:ilvl w:val="0"/>
          <w:numId w:val="1"/>
        </w:numPr>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 w:val="0"/>
          <w:bCs w:val="0"/>
          <w:kern w:val="2"/>
          <w:sz w:val="32"/>
          <w:highlight w:val="none"/>
          <w:lang w:eastAsia="zh-CN"/>
        </w:rPr>
        <w:t>农业水价综合改革及大中型灌区节水改造</w:t>
      </w:r>
    </w:p>
    <w:p>
      <w:pPr>
        <w:pStyle w:val="15"/>
        <w:numPr>
          <w:ilvl w:val="0"/>
          <w:numId w:val="0"/>
        </w:numPr>
        <w:ind w:firstLine="640" w:firstLineChars="200"/>
        <w:rPr>
          <w:rFonts w:hint="eastAsia" w:ascii="仿宋_GB2312" w:hAnsi="仿宋_GB2312" w:eastAsia="仿宋_GB2312" w:cs="仿宋_GB2312"/>
          <w:kern w:val="2"/>
          <w:sz w:val="32"/>
          <w:highlight w:val="none"/>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分值2分，不</w:t>
      </w:r>
      <w:r>
        <w:rPr>
          <w:rFonts w:hint="eastAsia" w:ascii="仿宋_GB2312" w:hAnsi="仿宋_GB2312" w:eastAsia="仿宋_GB2312" w:cs="仿宋_GB2312"/>
          <w:sz w:val="32"/>
        </w:rPr>
        <w:t>扣分</w:t>
      </w:r>
      <w:r>
        <w:rPr>
          <w:rFonts w:hint="eastAsia" w:ascii="仿宋_GB2312" w:hAnsi="仿宋_GB2312" w:eastAsia="仿宋_GB2312" w:cs="仿宋_GB2312"/>
          <w:sz w:val="32"/>
          <w:highlight w:val="none"/>
          <w:lang w:val="en-US" w:eastAsia="zh-CN"/>
        </w:rPr>
        <w:t>，得2分。</w:t>
      </w:r>
    </w:p>
    <w:p>
      <w:pPr>
        <w:pStyle w:val="15"/>
        <w:numPr>
          <w:ilvl w:val="0"/>
          <w:numId w:val="0"/>
        </w:numPr>
        <w:ind w:firstLine="640" w:firstLineChars="200"/>
        <w:rPr>
          <w:rFonts w:hint="eastAsia" w:ascii="仿宋_GB2312" w:hAnsi="仿宋_GB2312" w:eastAsia="仿宋_GB2312" w:cs="仿宋_GB2312"/>
          <w:kern w:val="2"/>
          <w:sz w:val="32"/>
          <w:highlight w:val="none"/>
          <w:lang w:val="en-US" w:eastAsia="zh-CN"/>
        </w:rPr>
      </w:pPr>
      <w:r>
        <w:rPr>
          <w:rFonts w:hint="eastAsia" w:ascii="仿宋_GB2312" w:hAnsi="仿宋_GB2312" w:eastAsia="仿宋_GB2312" w:cs="仿宋_GB2312"/>
          <w:kern w:val="2"/>
          <w:sz w:val="32"/>
          <w:highlight w:val="none"/>
          <w:lang w:val="en-US" w:eastAsia="zh-CN"/>
        </w:rPr>
        <w:t>一是农业水价综合改革。2023年曲江区实施农业水价改革（小型灌区）计量项目，项目主要建设内容为11个小灌区的农业水价计量设施安装及实施方案编制。该项目于2023年8月3日开工，于2023年10月26日完工，2023年12月14日完成工程验收。通过项目的实施新增农业水价综合改革面积1.105万亩，完成0.81万亩的年度目标。</w:t>
      </w:r>
    </w:p>
    <w:p>
      <w:pPr>
        <w:pStyle w:val="15"/>
        <w:numPr>
          <w:ilvl w:val="0"/>
          <w:numId w:val="0"/>
        </w:numPr>
        <w:ind w:firstLine="640" w:firstLineChars="200"/>
        <w:rPr>
          <w:rFonts w:hint="eastAsia" w:ascii="仿宋_GB2312" w:hAnsi="仿宋_GB2312" w:eastAsia="仿宋_GB2312" w:cs="仿宋_GB2312"/>
          <w:kern w:val="2"/>
          <w:sz w:val="32"/>
          <w:highlight w:val="none"/>
          <w:lang w:val="en-US" w:eastAsia="zh-CN"/>
        </w:rPr>
      </w:pPr>
      <w:r>
        <w:rPr>
          <w:rFonts w:hint="eastAsia" w:ascii="仿宋_GB2312" w:hAnsi="仿宋_GB2312" w:eastAsia="仿宋_GB2312" w:cs="仿宋_GB2312"/>
          <w:kern w:val="2"/>
          <w:sz w:val="32"/>
          <w:highlight w:val="none"/>
          <w:lang w:val="en-US" w:eastAsia="zh-CN"/>
        </w:rPr>
        <w:t>二是年度投资计划的重点中型灌区节水配套项目。2023年度曲江区投资计划的重点中型灌区节水配套项目为水毁饮水工程修复及提升改造项目，主要任务是水毁饮水工程的修复及原有饮水设施的提升改造。该项目分布于罗坑镇、小坑镇等7个镇，共涉及2个社区、18个行政村。该项目建设内容为重建取水陂14座、修复取水陂4座；重建取水滤池2座，新建取水滤池1座；重建清水池2座，新建清水池2座；新增一体化净水设备7套、消毒设施11套；配套供水管网及附属设施，安装入户水表。该项目根据各地区的实际情况，分三个标段建设，第一标段为大塘镇，第二标段为罗坑镇，第三标段为枫湾镇、小坑镇、马坝镇、白土镇、樟市镇等五个镇。截至2023年12月底，三个标段均已完工验收。</w:t>
      </w:r>
    </w:p>
    <w:p>
      <w:pPr>
        <w:pStyle w:val="15"/>
        <w:numPr>
          <w:ilvl w:val="0"/>
          <w:numId w:val="1"/>
        </w:numPr>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 w:val="0"/>
          <w:bCs w:val="0"/>
          <w:kern w:val="2"/>
          <w:sz w:val="32"/>
          <w:highlight w:val="none"/>
          <w:lang w:eastAsia="zh-CN"/>
        </w:rPr>
        <w:t>造林及抚育</w:t>
      </w:r>
    </w:p>
    <w:p>
      <w:pPr>
        <w:pStyle w:val="15"/>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分值3分，不</w:t>
      </w:r>
      <w:r>
        <w:rPr>
          <w:rFonts w:hint="eastAsia" w:ascii="仿宋_GB2312" w:hAnsi="仿宋_GB2312" w:eastAsia="仿宋_GB2312" w:cs="仿宋_GB2312"/>
          <w:sz w:val="32"/>
        </w:rPr>
        <w:t>扣分</w:t>
      </w:r>
      <w:r>
        <w:rPr>
          <w:rFonts w:hint="eastAsia" w:ascii="仿宋_GB2312" w:hAnsi="仿宋_GB2312" w:eastAsia="仿宋_GB2312" w:cs="仿宋_GB2312"/>
          <w:sz w:val="32"/>
          <w:highlight w:val="none"/>
          <w:lang w:val="en-US" w:eastAsia="zh-CN"/>
        </w:rPr>
        <w:t>，得3分。</w:t>
      </w:r>
    </w:p>
    <w:p>
      <w:pPr>
        <w:pStyle w:val="15"/>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b w:val="0"/>
          <w:bCs w:val="0"/>
          <w:kern w:val="2"/>
          <w:sz w:val="32"/>
          <w:highlight w:val="none"/>
          <w:lang w:val="en-US" w:eastAsia="zh-CN"/>
        </w:rPr>
        <w:t>2023年曲江区共完成森林质量精准提升15225亩，其中人工造林1260亩，低质低效林分改造5710亩（含新造油茶林600亩），封山育林1000亩，森林抚育4400亩（含油茶低产低效改造300亩），新造林抚育2855亩；完成年度任务目标。</w:t>
      </w:r>
    </w:p>
    <w:p>
      <w:pPr>
        <w:pStyle w:val="15"/>
        <w:keepNext w:val="0"/>
        <w:keepLines w:val="0"/>
        <w:pageBreakBefore w:val="0"/>
        <w:widowControl w:val="0"/>
        <w:numPr>
          <w:ilvl w:val="0"/>
          <w:numId w:val="1"/>
        </w:numPr>
        <w:kinsoku/>
        <w:wordWrap/>
        <w:overflowPunct/>
        <w:topLinePunct w:val="0"/>
        <w:autoSpaceDE/>
        <w:autoSpaceDN/>
        <w:bidi w:val="0"/>
        <w:spacing w:line="360" w:lineRule="auto"/>
        <w:textAlignment w:val="auto"/>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 w:val="0"/>
          <w:bCs w:val="0"/>
          <w:kern w:val="2"/>
          <w:sz w:val="32"/>
          <w:highlight w:val="none"/>
          <w:lang w:eastAsia="zh-CN"/>
        </w:rPr>
        <w:t>林业有害生物防控</w:t>
      </w:r>
    </w:p>
    <w:p>
      <w:pPr>
        <w:pStyle w:val="15"/>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分值1分，不</w:t>
      </w:r>
      <w:r>
        <w:rPr>
          <w:rFonts w:hint="eastAsia" w:ascii="仿宋_GB2312" w:hAnsi="仿宋_GB2312" w:eastAsia="仿宋_GB2312" w:cs="仿宋_GB2312"/>
          <w:sz w:val="32"/>
        </w:rPr>
        <w:t>扣分</w:t>
      </w:r>
      <w:r>
        <w:rPr>
          <w:rFonts w:hint="eastAsia" w:ascii="仿宋_GB2312" w:hAnsi="仿宋_GB2312" w:eastAsia="仿宋_GB2312" w:cs="仿宋_GB2312"/>
          <w:sz w:val="32"/>
          <w:highlight w:val="none"/>
          <w:lang w:val="en-US" w:eastAsia="zh-CN"/>
        </w:rPr>
        <w:t>，得1分。</w:t>
      </w:r>
    </w:p>
    <w:p>
      <w:pPr>
        <w:pStyle w:val="15"/>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 w:val="0"/>
          <w:bCs w:val="0"/>
          <w:kern w:val="2"/>
          <w:sz w:val="32"/>
          <w:highlight w:val="none"/>
          <w:lang w:eastAsia="zh-CN"/>
        </w:rPr>
        <w:t>2023年曲江区实施曲江区2023年松材线虫病除治项目和曲江区2023年松材线虫病疫点镇拔除项目，对全区22.843亩松林进行全面专项普查，并按照作业设计对松材线虫病发生小班及周边2公里病枯死松树进行除治和实施其他防控措施。截至2023年底，曲江区共完成</w:t>
      </w:r>
      <w:r>
        <w:rPr>
          <w:rFonts w:hint="eastAsia" w:ascii="仿宋_GB2312" w:hAnsi="仿宋_GB2312" w:eastAsia="仿宋_GB2312" w:cs="仿宋_GB2312"/>
          <w:kern w:val="2"/>
          <w:sz w:val="32"/>
          <w:highlight w:val="none"/>
          <w:lang w:val="en-US" w:eastAsia="zh-CN"/>
        </w:rPr>
        <w:t>林业有害生物防治作业面积3.8027万亩，其中松材线虫病防治作业面积3.8027万亩</w:t>
      </w:r>
      <w:r>
        <w:rPr>
          <w:rFonts w:hint="eastAsia" w:ascii="仿宋_GB2312" w:hAnsi="仿宋_GB2312" w:eastAsia="仿宋_GB2312" w:cs="仿宋_GB2312"/>
          <w:b w:val="0"/>
          <w:bCs w:val="0"/>
          <w:kern w:val="2"/>
          <w:sz w:val="32"/>
          <w:highlight w:val="none"/>
          <w:lang w:eastAsia="zh-CN"/>
        </w:rPr>
        <w:t>，完成林业有害生物防治任务。</w:t>
      </w:r>
    </w:p>
    <w:p>
      <w:pPr>
        <w:pStyle w:val="15"/>
        <w:keepNext w:val="0"/>
        <w:keepLines w:val="0"/>
        <w:pageBreakBefore w:val="0"/>
        <w:widowControl w:val="0"/>
        <w:numPr>
          <w:ilvl w:val="0"/>
          <w:numId w:val="1"/>
        </w:numPr>
        <w:kinsoku/>
        <w:wordWrap/>
        <w:overflowPunct/>
        <w:topLinePunct w:val="0"/>
        <w:autoSpaceDE/>
        <w:autoSpaceDN/>
        <w:bidi w:val="0"/>
        <w:spacing w:line="360" w:lineRule="auto"/>
        <w:textAlignment w:val="auto"/>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 w:val="0"/>
          <w:bCs w:val="0"/>
          <w:kern w:val="2"/>
          <w:sz w:val="32"/>
          <w:highlight w:val="none"/>
          <w:lang w:eastAsia="zh-CN"/>
        </w:rPr>
        <w:t>农村生活污水治理</w:t>
      </w:r>
    </w:p>
    <w:p>
      <w:pPr>
        <w:pStyle w:val="15"/>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分值2分，不</w:t>
      </w:r>
      <w:r>
        <w:rPr>
          <w:rFonts w:hint="eastAsia" w:ascii="仿宋_GB2312" w:hAnsi="仿宋_GB2312" w:eastAsia="仿宋_GB2312" w:cs="仿宋_GB2312"/>
          <w:sz w:val="32"/>
        </w:rPr>
        <w:t>扣分</w:t>
      </w:r>
      <w:r>
        <w:rPr>
          <w:rFonts w:hint="eastAsia" w:ascii="仿宋_GB2312" w:hAnsi="仿宋_GB2312" w:eastAsia="仿宋_GB2312" w:cs="仿宋_GB2312"/>
          <w:sz w:val="32"/>
          <w:highlight w:val="none"/>
          <w:lang w:val="en-US" w:eastAsia="zh-CN"/>
        </w:rPr>
        <w:t>，得2分。</w:t>
      </w:r>
    </w:p>
    <w:p>
      <w:pPr>
        <w:pStyle w:val="15"/>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default" w:ascii="仿宋_GB2312" w:eastAsia="仿宋_GB2312"/>
          <w:bCs/>
          <w:sz w:val="32"/>
          <w:szCs w:val="32"/>
          <w:highlight w:val="none"/>
          <w:lang w:val="en-US" w:eastAsia="zh-CN"/>
        </w:rPr>
      </w:pPr>
      <w:r>
        <w:rPr>
          <w:rFonts w:hint="eastAsia" w:ascii="仿宋_GB2312" w:eastAsia="仿宋_GB2312"/>
          <w:bCs/>
          <w:sz w:val="32"/>
          <w:szCs w:val="32"/>
          <w:highlight w:val="none"/>
          <w:lang w:val="en-US" w:eastAsia="zh-CN"/>
        </w:rPr>
        <w:t>2023年曲江区完成22个自然村农村生活污水设施的整改提升工作，新增完成22个自然村农村生活污水治理认定。截至2023年底，全区1150个自然村中811个自然村已认定完成农村生活污水治理，农村生活污水治理率达到70.52%，完成了年度任务目标。</w:t>
      </w:r>
    </w:p>
    <w:p>
      <w:pPr>
        <w:keepNext w:val="0"/>
        <w:keepLines w:val="0"/>
        <w:pageBreakBefore w:val="0"/>
        <w:widowControl w:val="0"/>
        <w:kinsoku/>
        <w:wordWrap/>
        <w:overflowPunct/>
        <w:topLinePunct w:val="0"/>
        <w:autoSpaceDE/>
        <w:autoSpaceDN/>
        <w:bidi w:val="0"/>
        <w:spacing w:line="360" w:lineRule="auto"/>
        <w:ind w:firstLine="642" w:firstLineChars="200"/>
        <w:textAlignment w:val="auto"/>
        <w:outlineLvl w:val="1"/>
        <w:rPr>
          <w:rFonts w:hint="eastAsia" w:ascii="Times New Roman" w:hAnsi="Times New Roman" w:eastAsia="楷体_GB2312" w:cs="Times New Roman"/>
          <w:b/>
          <w:bCs/>
          <w:sz w:val="32"/>
          <w:szCs w:val="32"/>
          <w:lang w:eastAsia="zh-CN"/>
        </w:rPr>
      </w:pPr>
      <w:r>
        <w:rPr>
          <w:rFonts w:hint="eastAsia"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lang w:val="en-US" w:eastAsia="zh-CN"/>
        </w:rPr>
        <w:t>四</w:t>
      </w:r>
      <w:r>
        <w:rPr>
          <w:rFonts w:hint="eastAsia"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lang w:val="en-US" w:eastAsia="zh-CN"/>
        </w:rPr>
        <w:t>效益</w:t>
      </w:r>
    </w:p>
    <w:p>
      <w:pPr>
        <w:keepNext w:val="0"/>
        <w:keepLines w:val="0"/>
        <w:pageBreakBefore w:val="0"/>
        <w:widowControl w:val="0"/>
        <w:kinsoku/>
        <w:wordWrap/>
        <w:overflowPunct/>
        <w:topLinePunct w:val="0"/>
        <w:autoSpaceDE/>
        <w:autoSpaceDN/>
        <w:bidi w:val="0"/>
        <w:spacing w:line="360" w:lineRule="auto"/>
        <w:ind w:firstLine="642" w:firstLineChars="200"/>
        <w:textAlignment w:val="auto"/>
        <w:rPr>
          <w:rFonts w:hint="eastAsia" w:ascii="楷体" w:hAnsi="楷体" w:eastAsia="楷体" w:cs="楷体"/>
          <w:b/>
          <w:sz w:val="32"/>
          <w:szCs w:val="32"/>
        </w:rPr>
      </w:pPr>
      <w:r>
        <w:rPr>
          <w:rFonts w:hint="eastAsia" w:ascii="楷体" w:hAnsi="楷体" w:eastAsia="楷体" w:cs="楷体"/>
          <w:b/>
          <w:sz w:val="32"/>
          <w:szCs w:val="32"/>
        </w:rPr>
        <w:t>1.</w:t>
      </w:r>
      <w:r>
        <w:rPr>
          <w:rFonts w:hint="eastAsia" w:ascii="楷体" w:hAnsi="楷体" w:eastAsia="楷体" w:cs="楷体"/>
          <w:b/>
          <w:sz w:val="32"/>
          <w:szCs w:val="32"/>
          <w:lang w:val="en-US" w:eastAsia="zh-CN"/>
        </w:rPr>
        <w:t xml:space="preserve"> </w:t>
      </w:r>
      <w:r>
        <w:rPr>
          <w:rFonts w:hint="eastAsia" w:ascii="楷体" w:hAnsi="楷体" w:eastAsia="楷体" w:cs="楷体"/>
          <w:b/>
          <w:sz w:val="32"/>
          <w:szCs w:val="32"/>
        </w:rPr>
        <w:t>社会经济效益。</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仿宋_GB2312" w:eastAsia="仿宋_GB2312"/>
          <w:bCs/>
          <w:sz w:val="32"/>
          <w:szCs w:val="32"/>
          <w:highlight w:val="none"/>
          <w:lang w:val="en-US" w:eastAsia="zh-CN"/>
        </w:rPr>
      </w:pPr>
      <w:r>
        <w:rPr>
          <w:rFonts w:hint="eastAsia" w:ascii="仿宋_GB2312" w:eastAsia="仿宋_GB2312"/>
          <w:bCs/>
          <w:sz w:val="32"/>
          <w:szCs w:val="32"/>
          <w:highlight w:val="none"/>
          <w:lang w:val="en-US" w:eastAsia="zh-CN"/>
        </w:rPr>
        <w:t>（1）巩固拓展脱贫攻坚成果</w:t>
      </w:r>
    </w:p>
    <w:p>
      <w:pPr>
        <w:pStyle w:val="15"/>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分值2分，不</w:t>
      </w:r>
      <w:r>
        <w:rPr>
          <w:rFonts w:hint="eastAsia" w:ascii="仿宋_GB2312" w:hAnsi="仿宋_GB2312" w:eastAsia="仿宋_GB2312" w:cs="仿宋_GB2312"/>
          <w:sz w:val="32"/>
        </w:rPr>
        <w:t>扣分</w:t>
      </w:r>
      <w:r>
        <w:rPr>
          <w:rFonts w:hint="eastAsia" w:ascii="仿宋_GB2312" w:hAnsi="仿宋_GB2312" w:eastAsia="仿宋_GB2312" w:cs="仿宋_GB2312"/>
          <w:sz w:val="32"/>
          <w:highlight w:val="none"/>
          <w:lang w:val="en-US" w:eastAsia="zh-CN"/>
        </w:rPr>
        <w:t>，得2分。</w:t>
      </w:r>
    </w:p>
    <w:p>
      <w:pPr>
        <w:pStyle w:val="15"/>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eastAsia="仿宋_GB2312" w:cs="Times New Roman"/>
          <w:bCs/>
          <w:sz w:val="32"/>
          <w:szCs w:val="32"/>
          <w:highlight w:val="none"/>
          <w:lang w:val="en-US" w:eastAsia="zh-CN"/>
        </w:rPr>
      </w:pPr>
      <w:r>
        <w:rPr>
          <w:rFonts w:hint="eastAsia" w:ascii="仿宋_GB2312" w:eastAsia="仿宋_GB2312" w:cs="Times New Roman"/>
          <w:bCs/>
          <w:sz w:val="32"/>
          <w:szCs w:val="32"/>
          <w:highlight w:val="none"/>
          <w:lang w:val="en-US" w:eastAsia="zh-CN"/>
        </w:rPr>
        <w:t>2023年曲江区通过常态化开展防止返贫动态监测，提高城乡低保标准和城乡特困供养标准，基本医疗保险实现应保尽保，创办乡村振兴车间，组织“6·30”活动，对脱贫户发展产业项目进行生产经营物资或设备扶持等手段，对脱贫户进行帮扶，现有1户2人为返贫动态监测对象，全区脱贫有劳力人均年可支配收入达25,219.36元，同比增长6.56%，全年未发生规模性返贫。</w:t>
      </w:r>
    </w:p>
    <w:p>
      <w:pPr>
        <w:pStyle w:val="15"/>
        <w:keepNext w:val="0"/>
        <w:keepLines w:val="0"/>
        <w:pageBreakBefore w:val="0"/>
        <w:widowControl w:val="0"/>
        <w:kinsoku/>
        <w:wordWrap/>
        <w:overflowPunct/>
        <w:topLinePunct w:val="0"/>
        <w:autoSpaceDE/>
        <w:autoSpaceDN/>
        <w:bidi w:val="0"/>
        <w:spacing w:line="360" w:lineRule="auto"/>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）粮食安全保障</w:t>
      </w:r>
    </w:p>
    <w:p>
      <w:pPr>
        <w:pStyle w:val="15"/>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分值4分，不</w:t>
      </w:r>
      <w:r>
        <w:rPr>
          <w:rFonts w:hint="eastAsia" w:ascii="仿宋_GB2312" w:hAnsi="仿宋_GB2312" w:eastAsia="仿宋_GB2312" w:cs="仿宋_GB2312"/>
          <w:sz w:val="32"/>
        </w:rPr>
        <w:t>扣分</w:t>
      </w:r>
      <w:r>
        <w:rPr>
          <w:rFonts w:hint="eastAsia" w:ascii="仿宋_GB2312" w:hAnsi="仿宋_GB2312" w:eastAsia="仿宋_GB2312" w:cs="仿宋_GB2312"/>
          <w:sz w:val="32"/>
          <w:highlight w:val="none"/>
          <w:lang w:val="en-US" w:eastAsia="zh-CN"/>
        </w:rPr>
        <w:t>，得4分。</w:t>
      </w:r>
    </w:p>
    <w:p>
      <w:pPr>
        <w:pStyle w:val="15"/>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b w:val="0"/>
          <w:bCs w:val="0"/>
          <w:kern w:val="2"/>
          <w:sz w:val="32"/>
          <w:highlight w:val="none"/>
          <w:lang w:val="en-US" w:eastAsia="zh-CN"/>
        </w:rPr>
        <w:t>一是2023年曲江区全年粮食播种面积17.757万亩，全年粮食产量7.5945万吨；大豆播种面积0.35万亩，油料播种面积4.96万亩，完成年度任务。</w:t>
      </w:r>
    </w:p>
    <w:p>
      <w:pPr>
        <w:pStyle w:val="15"/>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 w:val="0"/>
          <w:bCs w:val="0"/>
          <w:kern w:val="2"/>
          <w:sz w:val="32"/>
          <w:highlight w:val="none"/>
          <w:lang w:val="en-US" w:eastAsia="zh-CN"/>
        </w:rPr>
        <w:t>二是2023年曲江区加快推进农业机械化，通过落实农机购置补贴政策，拓展农机社会化服务，开展农机安全业务培训，提升农机安全管理水平和农机手操作技能，推动全区农业机械化事业高质量发展，实现水稻耕种收综合机械化率81.01%的年度目标，较上年度提升了0.76%。</w:t>
      </w:r>
    </w:p>
    <w:p>
      <w:pPr>
        <w:pStyle w:val="15"/>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eastAsia="仿宋_GB2312" w:cs="Times New Roman"/>
          <w:bCs/>
          <w:sz w:val="32"/>
          <w:szCs w:val="32"/>
          <w:highlight w:val="none"/>
          <w:lang w:val="en-US" w:eastAsia="zh-CN"/>
        </w:rPr>
      </w:pPr>
      <w:r>
        <w:rPr>
          <w:rFonts w:hint="eastAsia" w:ascii="仿宋_GB2312" w:eastAsia="仿宋_GB2312" w:cs="Times New Roman"/>
          <w:bCs/>
          <w:sz w:val="32"/>
          <w:szCs w:val="32"/>
          <w:highlight w:val="none"/>
          <w:lang w:val="en-US" w:eastAsia="zh-CN"/>
        </w:rPr>
        <w:t>（3）受污染耕地安全利用率</w:t>
      </w:r>
    </w:p>
    <w:p>
      <w:pPr>
        <w:pStyle w:val="15"/>
        <w:keepNext w:val="0"/>
        <w:keepLines w:val="0"/>
        <w:pageBreakBefore w:val="0"/>
        <w:widowControl w:val="0"/>
        <w:kinsoku/>
        <w:wordWrap/>
        <w:overflowPunct/>
        <w:topLinePunct w:val="0"/>
        <w:autoSpaceDE/>
        <w:autoSpaceDN/>
        <w:bidi w:val="0"/>
        <w:spacing w:line="360" w:lineRule="auto"/>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分值2分，不</w:t>
      </w:r>
      <w:r>
        <w:rPr>
          <w:rFonts w:hint="eastAsia" w:ascii="仿宋_GB2312" w:hAnsi="仿宋_GB2312" w:eastAsia="仿宋_GB2312" w:cs="仿宋_GB2312"/>
          <w:sz w:val="32"/>
        </w:rPr>
        <w:t>扣分</w:t>
      </w:r>
      <w:r>
        <w:rPr>
          <w:rFonts w:hint="eastAsia" w:ascii="仿宋_GB2312" w:hAnsi="仿宋_GB2312" w:eastAsia="仿宋_GB2312" w:cs="仿宋_GB2312"/>
          <w:sz w:val="32"/>
          <w:highlight w:val="none"/>
          <w:lang w:val="en-US" w:eastAsia="zh-CN"/>
        </w:rPr>
        <w:t>，得2分</w:t>
      </w:r>
      <w:r>
        <w:rPr>
          <w:rFonts w:hint="eastAsia" w:ascii="仿宋_GB2312" w:hAnsi="仿宋_GB2312" w:eastAsia="仿宋_GB2312" w:cs="仿宋_GB2312"/>
          <w:b w:val="0"/>
          <w:bCs w:val="0"/>
          <w:kern w:val="2"/>
          <w:sz w:val="32"/>
          <w:highlight w:val="none"/>
          <w:lang w:val="en-US" w:eastAsia="zh-CN"/>
        </w:rPr>
        <w:t>。</w:t>
      </w:r>
    </w:p>
    <w:p>
      <w:pPr>
        <w:pStyle w:val="15"/>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 w:val="0"/>
          <w:bCs w:val="0"/>
          <w:kern w:val="2"/>
          <w:sz w:val="32"/>
          <w:highlight w:val="none"/>
          <w:lang w:val="en-US" w:eastAsia="zh-CN"/>
        </w:rPr>
        <w:t>2023年曲江区通过完成韶关市曲江区2023年受污染耕地安全利用项目、韶关市曲江区2023年受污染耕地信息管理项目、韶关市曲江区2023年种植结构调整补助项目三个受污染耕地安全利用和种植结构调整项目，对98292.74亩受污染耕地实现安全利用，对18402.27亩重度污染耕地完成种植结构调整或退耕还林，实现了方案覆盖率100%、措施到位率100%、台账管理率100%。曲江区2023年受污染耕地安全利用率为93.75%，实现了年度任务目标。</w:t>
      </w:r>
    </w:p>
    <w:p>
      <w:pPr>
        <w:pStyle w:val="15"/>
        <w:keepNext w:val="0"/>
        <w:keepLines w:val="0"/>
        <w:pageBreakBefore w:val="0"/>
        <w:widowControl w:val="0"/>
        <w:kinsoku/>
        <w:wordWrap/>
        <w:overflowPunct/>
        <w:topLinePunct w:val="0"/>
        <w:autoSpaceDE/>
        <w:autoSpaceDN/>
        <w:bidi w:val="0"/>
        <w:spacing w:line="360" w:lineRule="auto"/>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）保障农产品质量安全</w:t>
      </w:r>
    </w:p>
    <w:p>
      <w:pPr>
        <w:pStyle w:val="15"/>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分值2分，不</w:t>
      </w:r>
      <w:r>
        <w:rPr>
          <w:rFonts w:hint="eastAsia" w:ascii="仿宋_GB2312" w:hAnsi="仿宋_GB2312" w:eastAsia="仿宋_GB2312" w:cs="仿宋_GB2312"/>
          <w:sz w:val="32"/>
        </w:rPr>
        <w:t>扣分</w:t>
      </w:r>
      <w:r>
        <w:rPr>
          <w:rFonts w:hint="eastAsia" w:ascii="仿宋_GB2312" w:hAnsi="仿宋_GB2312" w:eastAsia="仿宋_GB2312" w:cs="仿宋_GB2312"/>
          <w:sz w:val="32"/>
          <w:highlight w:val="none"/>
          <w:lang w:val="en-US" w:eastAsia="zh-CN"/>
        </w:rPr>
        <w:t>，得2分。</w:t>
      </w:r>
    </w:p>
    <w:p>
      <w:pPr>
        <w:pStyle w:val="15"/>
        <w:keepNext w:val="0"/>
        <w:keepLines w:val="0"/>
        <w:pageBreakBefore w:val="0"/>
        <w:widowControl w:val="0"/>
        <w:numPr>
          <w:ilvl w:val="0"/>
          <w:numId w:val="0"/>
        </w:numPr>
        <w:kinsoku/>
        <w:wordWrap/>
        <w:overflowPunct/>
        <w:topLinePunct w:val="0"/>
        <w:autoSpaceDE/>
        <w:autoSpaceDN/>
        <w:bidi w:val="0"/>
        <w:spacing w:line="360" w:lineRule="auto"/>
        <w:ind w:firstLine="640" w:firstLineChars="200"/>
        <w:textAlignment w:val="auto"/>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 w:val="0"/>
          <w:bCs w:val="0"/>
          <w:kern w:val="2"/>
          <w:sz w:val="32"/>
          <w:highlight w:val="none"/>
          <w:lang w:val="en-US" w:eastAsia="zh-CN"/>
        </w:rPr>
        <w:t>2023年曲江区实施</w:t>
      </w:r>
      <w:r>
        <w:rPr>
          <w:rFonts w:hint="eastAsia" w:ascii="仿宋_GB2312" w:hAnsi="仿宋_GB2312" w:eastAsia="仿宋_GB2312" w:cs="仿宋_GB2312"/>
          <w:sz w:val="32"/>
          <w:szCs w:val="32"/>
          <w:lang w:val="en-US" w:eastAsia="zh-CN"/>
        </w:rPr>
        <w:t>牲畜屠宰环节、生猪“瘦肉精”检测及病死猪、病害肉无害化处理补助项目，全年</w:t>
      </w:r>
      <w:r>
        <w:rPr>
          <w:rFonts w:hint="eastAsia" w:ascii="仿宋_GB2312" w:hAnsi="仿宋_GB2312" w:eastAsia="仿宋_GB2312" w:cs="仿宋_GB2312"/>
          <w:b w:val="0"/>
          <w:bCs w:val="0"/>
          <w:kern w:val="2"/>
          <w:sz w:val="32"/>
          <w:highlight w:val="none"/>
          <w:lang w:val="en-US" w:eastAsia="zh-CN"/>
        </w:rPr>
        <w:t>屠宰环节和养殖环节病死生猪无害化处理率均达100%，全年未发生重大农产品质量安全事故。</w:t>
      </w:r>
    </w:p>
    <w:p>
      <w:pPr>
        <w:pStyle w:val="15"/>
        <w:keepNext w:val="0"/>
        <w:keepLines w:val="0"/>
        <w:pageBreakBefore w:val="0"/>
        <w:widowControl w:val="0"/>
        <w:kinsoku/>
        <w:wordWrap/>
        <w:overflowPunct/>
        <w:topLinePunct w:val="0"/>
        <w:autoSpaceDE/>
        <w:autoSpaceDN/>
        <w:bidi w:val="0"/>
        <w:spacing w:line="360" w:lineRule="auto"/>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）耕地保护</w:t>
      </w:r>
    </w:p>
    <w:p>
      <w:pPr>
        <w:pStyle w:val="15"/>
        <w:rPr>
          <w:rFonts w:hint="eastAsia" w:ascii="仿宋_GB2312" w:hAnsi="仿宋_GB2312" w:eastAsia="仿宋_GB2312" w:cs="仿宋_GB2312"/>
          <w:sz w:val="32"/>
          <w:szCs w:val="32"/>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分值2分，不</w:t>
      </w:r>
      <w:r>
        <w:rPr>
          <w:rFonts w:hint="eastAsia" w:ascii="仿宋_GB2312" w:hAnsi="仿宋_GB2312" w:eastAsia="仿宋_GB2312" w:cs="仿宋_GB2312"/>
          <w:sz w:val="32"/>
        </w:rPr>
        <w:t>扣分</w:t>
      </w:r>
      <w:r>
        <w:rPr>
          <w:rFonts w:hint="eastAsia" w:ascii="仿宋_GB2312" w:hAnsi="仿宋_GB2312" w:eastAsia="仿宋_GB2312" w:cs="仿宋_GB2312"/>
          <w:sz w:val="32"/>
          <w:highlight w:val="none"/>
          <w:lang w:val="en-US" w:eastAsia="zh-CN"/>
        </w:rPr>
        <w:t>，得2分。</w:t>
      </w:r>
    </w:p>
    <w:p>
      <w:pPr>
        <w:pStyle w:val="1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2023年曲江区继续严格执行耕地保护制度和永久基本农田保护制度，健全区、镇、村三级责任机制，落实耕地“进出平衡”，严守耕地红线</w:t>
      </w:r>
      <w:r>
        <w:rPr>
          <w:rFonts w:hint="eastAsia" w:ascii="仿宋_GB2312" w:hAnsi="仿宋_GB2312" w:eastAsia="仿宋_GB2312" w:cs="仿宋_GB2312"/>
          <w:b w:val="0"/>
          <w:bCs w:val="0"/>
          <w:kern w:val="2"/>
          <w:sz w:val="32"/>
          <w:highlight w:val="none"/>
          <w:lang w:val="en-US" w:eastAsia="zh-CN"/>
        </w:rPr>
        <w:t>。全区永久基本农田保护面积维持在14.233万亩，完成年度耕地保护责任目标。</w:t>
      </w:r>
    </w:p>
    <w:p>
      <w:pPr>
        <w:pStyle w:val="1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）“四好农村路”建设和养护</w:t>
      </w:r>
    </w:p>
    <w:p>
      <w:pPr>
        <w:pStyle w:val="15"/>
        <w:rPr>
          <w:rFonts w:hint="eastAsia"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分值4分，不</w:t>
      </w:r>
      <w:r>
        <w:rPr>
          <w:rFonts w:hint="eastAsia" w:ascii="仿宋_GB2312" w:hAnsi="仿宋_GB2312" w:eastAsia="仿宋_GB2312" w:cs="仿宋_GB2312"/>
          <w:sz w:val="32"/>
        </w:rPr>
        <w:t>扣分</w:t>
      </w:r>
      <w:r>
        <w:rPr>
          <w:rFonts w:hint="eastAsia" w:ascii="仿宋_GB2312" w:hAnsi="仿宋_GB2312" w:eastAsia="仿宋_GB2312" w:cs="仿宋_GB2312"/>
          <w:sz w:val="32"/>
          <w:highlight w:val="none"/>
          <w:lang w:val="en-US" w:eastAsia="zh-CN"/>
        </w:rPr>
        <w:t>，得4分。</w:t>
      </w:r>
    </w:p>
    <w:p>
      <w:pPr>
        <w:pStyle w:val="15"/>
        <w:rPr>
          <w:rFonts w:hint="default"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b w:val="0"/>
          <w:bCs w:val="0"/>
          <w:kern w:val="2"/>
          <w:sz w:val="32"/>
          <w:highlight w:val="none"/>
          <w:lang w:val="en-US" w:eastAsia="zh-CN"/>
        </w:rPr>
        <w:t>一是</w:t>
      </w:r>
      <w:r>
        <w:rPr>
          <w:rFonts w:hint="eastAsia" w:ascii="仿宋_GB2312" w:hAnsi="仿宋_GB2312" w:eastAsia="仿宋_GB2312" w:cs="仿宋_GB2312"/>
          <w:sz w:val="32"/>
          <w:szCs w:val="32"/>
          <w:lang w:eastAsia="zh-CN"/>
        </w:rPr>
        <w:t>“四好农村路”建设。</w:t>
      </w:r>
      <w:r>
        <w:rPr>
          <w:rFonts w:hint="eastAsia" w:ascii="仿宋_GB2312" w:hAnsi="仿宋_GB2312" w:eastAsia="仿宋_GB2312" w:cs="仿宋_GB2312"/>
          <w:sz w:val="32"/>
          <w:szCs w:val="32"/>
          <w:lang w:val="en-US" w:eastAsia="zh-CN"/>
        </w:rPr>
        <w:t>2023年曲江区完成了Y236线杨屋至小坑、Y202线罗坑至中心坝、Y211线水楼至廖屋、Y225线电厂至蒙涅、Y229线老邹屋至大山下、Y252线河边至三都、Y317线新村至大笋、Y324线佛坳至青头坪、Y328线罗沙岗至其田、Y242线新村至乐村坪、Y231线长坪-寨头K0+000-K5+357、Y231线长坪-寨头K5+357-K7+887等建制村公路单改双工程以及X838线枫湾至茶园山县道网升级工程，共计完成新改建农村公路里程27.121公里；完成C429线岭头桥、Y359线隔坑口桥、坑口村委毛屋桥、C509线角山桥、C030线上李桥等5座危桥改造工程。</w:t>
      </w:r>
    </w:p>
    <w:p>
      <w:pPr>
        <w:pStyle w:val="15"/>
        <w:rPr>
          <w:rFonts w:hint="default" w:ascii="仿宋_GB2312" w:hAnsi="仿宋_GB2312" w:eastAsia="仿宋_GB2312" w:cs="仿宋_GB2312"/>
          <w:sz w:val="32"/>
          <w:szCs w:val="32"/>
          <w:lang w:val="en-US"/>
        </w:rPr>
      </w:pPr>
      <w:r>
        <w:rPr>
          <w:rFonts w:hint="eastAsia" w:ascii="仿宋_GB2312" w:hAnsi="仿宋_GB2312" w:eastAsia="仿宋_GB2312" w:cs="仿宋_GB2312"/>
          <w:b w:val="0"/>
          <w:bCs w:val="0"/>
          <w:kern w:val="2"/>
          <w:sz w:val="32"/>
          <w:highlight w:val="none"/>
          <w:lang w:val="en-US" w:eastAsia="zh-CN"/>
        </w:rPr>
        <w:t>二是</w:t>
      </w:r>
      <w:r>
        <w:rPr>
          <w:rFonts w:hint="eastAsia" w:ascii="仿宋_GB2312" w:hAnsi="仿宋_GB2312" w:eastAsia="仿宋_GB2312" w:cs="仿宋_GB2312"/>
          <w:sz w:val="32"/>
          <w:szCs w:val="32"/>
          <w:lang w:eastAsia="zh-CN"/>
        </w:rPr>
        <w:t>“四好农村路”养护。</w:t>
      </w:r>
      <w:r>
        <w:rPr>
          <w:rFonts w:hint="eastAsia" w:ascii="仿宋_GB2312" w:hAnsi="仿宋_GB2312" w:eastAsia="仿宋_GB2312" w:cs="仿宋_GB2312"/>
          <w:b w:val="0"/>
          <w:bCs w:val="0"/>
          <w:kern w:val="2"/>
          <w:sz w:val="32"/>
          <w:highlight w:val="none"/>
          <w:lang w:val="en-US" w:eastAsia="zh-CN"/>
        </w:rPr>
        <w:t>曲江区农村公路管养总里程为1511.094公里，由各乡镇养护道班分别成立养护公司，签订日常养护承包合同，根据《2023年曲江区农村公路管理养护实施方案及考核机制》负责对各自辖区内的农村公路进行管养。2023年曲江区农村公路列养率达100%。</w:t>
      </w:r>
    </w:p>
    <w:p>
      <w:pPr>
        <w:pStyle w:val="1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）动植物疫病防控</w:t>
      </w:r>
    </w:p>
    <w:p>
      <w:pPr>
        <w:pStyle w:val="15"/>
        <w:rPr>
          <w:rFonts w:hint="eastAsia" w:ascii="仿宋_GB2312" w:eastAsia="仿宋_GB2312"/>
          <w:bCs/>
          <w:sz w:val="32"/>
          <w:szCs w:val="32"/>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分值2分，不</w:t>
      </w:r>
      <w:r>
        <w:rPr>
          <w:rFonts w:hint="eastAsia" w:ascii="仿宋_GB2312" w:hAnsi="仿宋_GB2312" w:eastAsia="仿宋_GB2312" w:cs="仿宋_GB2312"/>
          <w:sz w:val="32"/>
        </w:rPr>
        <w:t>扣分</w:t>
      </w:r>
      <w:r>
        <w:rPr>
          <w:rFonts w:hint="eastAsia" w:ascii="仿宋_GB2312" w:hAnsi="仿宋_GB2312" w:eastAsia="仿宋_GB2312" w:cs="仿宋_GB2312"/>
          <w:sz w:val="32"/>
          <w:highlight w:val="none"/>
          <w:lang w:val="en-US" w:eastAsia="zh-CN"/>
        </w:rPr>
        <w:t>，得2分。</w:t>
      </w:r>
    </w:p>
    <w:p>
      <w:pPr>
        <w:pStyle w:val="15"/>
        <w:rPr>
          <w:rFonts w:hint="eastAsia" w:ascii="仿宋_GB2312" w:hAnsi="仿宋_GB2312" w:eastAsia="仿宋_GB2312" w:cs="仿宋_GB2312"/>
          <w:sz w:val="32"/>
          <w:szCs w:val="32"/>
        </w:rPr>
      </w:pPr>
      <w:r>
        <w:rPr>
          <w:rFonts w:hint="eastAsia" w:ascii="仿宋_GB2312" w:eastAsia="仿宋_GB2312"/>
          <w:bCs/>
          <w:sz w:val="32"/>
          <w:szCs w:val="32"/>
          <w:lang w:val="en-US" w:eastAsia="zh-CN"/>
        </w:rPr>
        <w:t>一是动物疫病防控方面。曲江区完成了2023年度春秋季动物疫病集中免疫工作，</w:t>
      </w:r>
      <w:r>
        <w:rPr>
          <w:rFonts w:hint="eastAsia" w:ascii="仿宋_GB2312" w:hAnsi="仿宋_GB2312" w:eastAsia="仿宋_GB2312" w:cs="仿宋_GB2312"/>
          <w:sz w:val="32"/>
          <w:szCs w:val="32"/>
          <w:lang w:val="en-US" w:eastAsia="zh-CN"/>
        </w:rPr>
        <w:t>强制免疫病种应免畜禽的</w:t>
      </w:r>
      <w:r>
        <w:rPr>
          <w:rFonts w:hint="eastAsia" w:ascii="仿宋_GB2312" w:hAnsi="仿宋_GB2312" w:eastAsia="仿宋_GB2312" w:cs="仿宋_GB2312"/>
          <w:color w:val="auto"/>
          <w:sz w:val="32"/>
          <w:szCs w:val="32"/>
        </w:rPr>
        <w:t>免疫</w:t>
      </w:r>
      <w:r>
        <w:rPr>
          <w:rFonts w:hint="eastAsia" w:ascii="仿宋_GB2312" w:hAnsi="仿宋_GB2312" w:eastAsia="仿宋_GB2312" w:cs="仿宋_GB2312"/>
          <w:color w:val="auto"/>
          <w:sz w:val="32"/>
          <w:szCs w:val="32"/>
          <w:lang w:val="en-US" w:eastAsia="zh-CN"/>
        </w:rPr>
        <w:t>密度</w:t>
      </w:r>
      <w:r>
        <w:rPr>
          <w:rFonts w:hint="eastAsia" w:ascii="仿宋_GB2312" w:hAnsi="仿宋_GB2312" w:eastAsia="仿宋_GB2312" w:cs="仿宋_GB2312"/>
          <w:color w:val="auto"/>
          <w:sz w:val="32"/>
          <w:szCs w:val="32"/>
        </w:rPr>
        <w:t>达到100%，</w:t>
      </w:r>
      <w:r>
        <w:rPr>
          <w:rFonts w:hint="eastAsia" w:ascii="仿宋_GB2312" w:hAnsi="仿宋_GB2312" w:eastAsia="仿宋_GB2312" w:cs="仿宋_GB2312"/>
          <w:color w:val="auto"/>
          <w:sz w:val="32"/>
          <w:szCs w:val="32"/>
          <w:lang w:val="en-US" w:eastAsia="zh-CN"/>
        </w:rPr>
        <w:t>平均</w:t>
      </w:r>
      <w:r>
        <w:rPr>
          <w:rFonts w:hint="eastAsia" w:ascii="仿宋_GB2312" w:hAnsi="仿宋_GB2312" w:eastAsia="仿宋_GB2312" w:cs="仿宋_GB2312"/>
          <w:color w:val="auto"/>
          <w:sz w:val="32"/>
          <w:szCs w:val="32"/>
        </w:rPr>
        <w:t>免疫抗体合格率</w:t>
      </w:r>
      <w:r>
        <w:rPr>
          <w:rFonts w:hint="eastAsia" w:ascii="仿宋_GB2312" w:hAnsi="仿宋_GB2312" w:eastAsia="仿宋_GB2312" w:cs="仿宋_GB2312"/>
          <w:color w:val="auto"/>
          <w:sz w:val="32"/>
          <w:szCs w:val="32"/>
          <w:lang w:val="en-US" w:eastAsia="zh-CN"/>
        </w:rPr>
        <w:t>达到</w:t>
      </w:r>
      <w:r>
        <w:rPr>
          <w:rFonts w:hint="eastAsia" w:ascii="仿宋_GB2312" w:hAnsi="仿宋_GB2312" w:eastAsia="仿宋_GB2312" w:cs="仿宋_GB2312"/>
          <w:color w:val="auto"/>
          <w:sz w:val="32"/>
          <w:szCs w:val="32"/>
        </w:rPr>
        <w:t>97.</w:t>
      </w:r>
      <w:r>
        <w:rPr>
          <w:rFonts w:hint="eastAsia" w:ascii="仿宋_GB2312" w:hAnsi="仿宋_GB2312" w:eastAsia="仿宋_GB2312" w:cs="仿宋_GB2312"/>
          <w:color w:val="auto"/>
          <w:sz w:val="32"/>
          <w:szCs w:val="32"/>
          <w:lang w:val="en-US" w:eastAsia="zh-CN"/>
        </w:rPr>
        <w:t>7%，2023年未发生大规模随意抛弃病死猪事件，未发生重大动物疫情。</w:t>
      </w:r>
    </w:p>
    <w:p>
      <w:pPr>
        <w:pStyle w:val="15"/>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二是</w:t>
      </w:r>
      <w:r>
        <w:rPr>
          <w:rFonts w:hint="eastAsia" w:ascii="仿宋_GB2312" w:hAnsi="仿宋_GB2312" w:eastAsia="仿宋_GB2312" w:cs="仿宋_GB2312"/>
          <w:sz w:val="32"/>
          <w:szCs w:val="32"/>
          <w:lang w:eastAsia="zh-CN"/>
        </w:rPr>
        <w:t>植物疫病防控</w:t>
      </w:r>
      <w:r>
        <w:rPr>
          <w:rFonts w:hint="eastAsia" w:ascii="仿宋_GB2312" w:hAnsi="仿宋_GB2312" w:eastAsia="仿宋_GB2312" w:cs="仿宋_GB2312"/>
          <w:sz w:val="32"/>
          <w:szCs w:val="32"/>
          <w:lang w:val="en-US" w:eastAsia="zh-CN"/>
        </w:rPr>
        <w:t>方面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kern w:val="2"/>
          <w:sz w:val="32"/>
          <w:highlight w:val="none"/>
          <w:lang w:val="en-US" w:eastAsia="zh-CN"/>
        </w:rPr>
        <w:t>2023年曲江区通过实施农作物重大病虫监测与防控项目和重大农作物病虫与红火蚁防控项目，发布农作物病虫预报12期，制作播放病虫电视预报2期，提高病虫发生防治信息的覆盖面和传播时效，病虫预报准确率达到96%，提高了农作物病虫害监测预警和防控能力；采购杀虫灯74套，推广病虫害绿色防控、统防统治技术，将农作物病虫危害总损失控制在5%以下，确保了全区农作物生产安全；开展红火蚁监测与调查，掌握红火蚁发生发展动态，并采购红火蚁防控药剂，开展红火蚁防控与宣传培训等工作，有效控制红火蚁的扩散和蔓延；应用省级红火蚁云采集云调查功能，对全区9个镇1个街道开展秋季红火蚁统一防控，防治蚁巢数量50000个以上，4级及5级发生水平控制在总发生面积的2%以下</w:t>
      </w:r>
      <w:r>
        <w:rPr>
          <w:rFonts w:hint="eastAsia" w:ascii="仿宋_GB2312" w:hAnsi="仿宋_GB2312" w:eastAsia="仿宋_GB2312" w:cs="仿宋_GB2312"/>
          <w:color w:val="auto"/>
          <w:sz w:val="32"/>
          <w:szCs w:val="32"/>
          <w:lang w:eastAsia="zh-CN"/>
        </w:rPr>
        <w:t>，重大植物疫情未蔓延。</w:t>
      </w:r>
    </w:p>
    <w:p>
      <w:pPr>
        <w:pStyle w:val="15"/>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lang w:eastAsia="zh-CN"/>
        </w:rPr>
        <w:t>）林业有害生物</w:t>
      </w:r>
      <w:r>
        <w:rPr>
          <w:rFonts w:hint="eastAsia" w:ascii="仿宋_GB2312" w:hAnsi="仿宋_GB2312" w:eastAsia="仿宋_GB2312" w:cs="仿宋_GB2312"/>
          <w:sz w:val="32"/>
          <w:szCs w:val="32"/>
          <w:lang w:val="en-US" w:eastAsia="zh-CN"/>
        </w:rPr>
        <w:t>防治效果</w:t>
      </w:r>
    </w:p>
    <w:p>
      <w:pPr>
        <w:pStyle w:val="15"/>
        <w:rPr>
          <w:rFonts w:hint="eastAsia" w:ascii="仿宋_GB2312" w:eastAsia="仿宋_GB2312"/>
          <w:bCs/>
          <w:sz w:val="32"/>
          <w:szCs w:val="32"/>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分值2分，不</w:t>
      </w:r>
      <w:r>
        <w:rPr>
          <w:rFonts w:hint="eastAsia" w:ascii="仿宋_GB2312" w:hAnsi="仿宋_GB2312" w:eastAsia="仿宋_GB2312" w:cs="仿宋_GB2312"/>
          <w:sz w:val="32"/>
        </w:rPr>
        <w:t>扣分</w:t>
      </w:r>
      <w:r>
        <w:rPr>
          <w:rFonts w:hint="eastAsia" w:ascii="仿宋_GB2312" w:hAnsi="仿宋_GB2312" w:eastAsia="仿宋_GB2312" w:cs="仿宋_GB2312"/>
          <w:sz w:val="32"/>
          <w:highlight w:val="none"/>
          <w:lang w:val="en-US" w:eastAsia="zh-CN"/>
        </w:rPr>
        <w:t>，得2分。</w:t>
      </w:r>
    </w:p>
    <w:p>
      <w:pPr>
        <w:pStyle w:val="15"/>
        <w:rPr>
          <w:rFonts w:hint="eastAsia" w:ascii="仿宋_GB2312" w:eastAsia="仿宋_GB2312"/>
          <w:bCs/>
          <w:sz w:val="32"/>
          <w:szCs w:val="32"/>
          <w:lang w:val="en-US" w:eastAsia="zh-CN"/>
        </w:rPr>
      </w:pPr>
      <w:r>
        <w:rPr>
          <w:rFonts w:hint="eastAsia" w:ascii="仿宋_GB2312" w:eastAsia="仿宋_GB2312"/>
          <w:bCs/>
          <w:sz w:val="32"/>
          <w:szCs w:val="32"/>
          <w:lang w:val="en-US" w:eastAsia="zh-CN"/>
        </w:rPr>
        <w:t>2023年曲江区实施松材线虫病除治项目和松材线虫病疫点镇拔除项目，</w:t>
      </w:r>
      <w:r>
        <w:rPr>
          <w:rFonts w:hint="eastAsia" w:ascii="仿宋_GB2312" w:hAnsi="仿宋" w:eastAsia="仿宋_GB2312"/>
          <w:color w:val="auto"/>
          <w:sz w:val="32"/>
          <w:szCs w:val="32"/>
          <w:highlight w:val="none"/>
          <w:lang w:val="en-US" w:eastAsia="zh-CN"/>
        </w:rPr>
        <w:t>完成松材线虫病除治面积3.8027万亩，</w:t>
      </w:r>
      <w:r>
        <w:rPr>
          <w:rFonts w:hint="eastAsia" w:ascii="仿宋_GB2312" w:hAnsi="仿宋_GB2312" w:eastAsia="仿宋_GB2312" w:cs="仿宋_GB2312"/>
          <w:sz w:val="32"/>
          <w:szCs w:val="32"/>
          <w:lang w:val="en-US" w:eastAsia="zh-CN"/>
        </w:rPr>
        <w:t>其中</w:t>
      </w:r>
      <w:r>
        <w:rPr>
          <w:rFonts w:hint="eastAsia" w:ascii="仿宋_GB2312" w:hAnsi="仿宋_GB2312" w:eastAsia="仿宋_GB2312" w:cs="仿宋_GB2312"/>
          <w:kern w:val="2"/>
          <w:sz w:val="32"/>
          <w:szCs w:val="32"/>
          <w:lang w:val="en-US" w:eastAsia="zh-CN" w:bidi="ar"/>
        </w:rPr>
        <w:t>打孔注药5000株，人工喷洒噻虫啉2239.32亩，挂设诱捕器10套</w:t>
      </w:r>
      <w:r>
        <w:rPr>
          <w:rFonts w:hint="eastAsia" w:ascii="仿宋_GB2312" w:hAnsi="仿宋_GB2312" w:eastAsia="仿宋_GB2312" w:cs="仿宋_GB2312"/>
          <w:sz w:val="32"/>
          <w:szCs w:val="32"/>
          <w:lang w:val="en-US" w:eastAsia="zh-CN"/>
        </w:rPr>
        <w:t>。2023年曲江区林业有害生物成灾率控制在17.2‰，实现林业有害生物成灾率≤20.27‰的年度目标。</w:t>
      </w:r>
    </w:p>
    <w:p>
      <w:pPr>
        <w:keepNext w:val="0"/>
        <w:keepLines w:val="0"/>
        <w:pageBreakBefore w:val="0"/>
        <w:widowControl w:val="0"/>
        <w:kinsoku/>
        <w:wordWrap/>
        <w:overflowPunct/>
        <w:topLinePunct w:val="0"/>
        <w:autoSpaceDE/>
        <w:autoSpaceDN/>
        <w:bidi w:val="0"/>
        <w:spacing w:line="360" w:lineRule="auto"/>
        <w:ind w:firstLine="642" w:firstLineChars="200"/>
        <w:textAlignment w:val="auto"/>
        <w:rPr>
          <w:rFonts w:hint="eastAsia" w:ascii="楷体" w:hAnsi="楷体" w:eastAsia="楷体" w:cs="楷体"/>
          <w:b/>
          <w:sz w:val="32"/>
          <w:szCs w:val="32"/>
        </w:rPr>
      </w:pPr>
      <w:r>
        <w:rPr>
          <w:rFonts w:hint="eastAsia" w:ascii="楷体" w:hAnsi="楷体" w:eastAsia="楷体" w:cs="楷体"/>
          <w:b/>
          <w:sz w:val="32"/>
          <w:szCs w:val="32"/>
          <w:lang w:val="en-US" w:eastAsia="zh-CN"/>
        </w:rPr>
        <w:t>2</w:t>
      </w:r>
      <w:r>
        <w:rPr>
          <w:rFonts w:hint="eastAsia" w:ascii="楷体" w:hAnsi="楷体" w:eastAsia="楷体" w:cs="楷体"/>
          <w:b/>
          <w:sz w:val="32"/>
          <w:szCs w:val="32"/>
        </w:rPr>
        <w:t>.</w:t>
      </w:r>
      <w:r>
        <w:rPr>
          <w:rFonts w:hint="eastAsia" w:ascii="楷体" w:hAnsi="楷体" w:eastAsia="楷体" w:cs="楷体"/>
          <w:b/>
          <w:sz w:val="32"/>
          <w:szCs w:val="32"/>
          <w:lang w:val="en-US" w:eastAsia="zh-CN"/>
        </w:rPr>
        <w:t xml:space="preserve"> </w:t>
      </w:r>
      <w:r>
        <w:rPr>
          <w:rFonts w:hint="eastAsia" w:ascii="楷体" w:hAnsi="楷体" w:eastAsia="楷体" w:cs="楷体"/>
          <w:b/>
          <w:sz w:val="32"/>
          <w:szCs w:val="32"/>
        </w:rPr>
        <w:t>项目效果的可持续性。</w:t>
      </w:r>
    </w:p>
    <w:p>
      <w:pPr>
        <w:ind w:firstLine="640" w:firstLineChars="200"/>
        <w:rPr>
          <w:rStyle w:val="20"/>
          <w:rFonts w:hint="eastAsia" w:eastAsia="仿宋_GB2312" w:cs="Times New Roman"/>
          <w:sz w:val="32"/>
          <w:lang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分值5分，不</w:t>
      </w:r>
      <w:r>
        <w:rPr>
          <w:rFonts w:hint="eastAsia" w:ascii="仿宋_GB2312" w:hAnsi="仿宋_GB2312" w:eastAsia="仿宋_GB2312" w:cs="仿宋_GB2312"/>
          <w:sz w:val="32"/>
        </w:rPr>
        <w:t>扣分</w:t>
      </w:r>
      <w:r>
        <w:rPr>
          <w:rFonts w:hint="eastAsia" w:ascii="仿宋_GB2312" w:hAnsi="仿宋_GB2312" w:eastAsia="仿宋_GB2312" w:cs="仿宋_GB2312"/>
          <w:sz w:val="32"/>
          <w:highlight w:val="none"/>
          <w:lang w:val="en-US" w:eastAsia="zh-CN"/>
        </w:rPr>
        <w:t>，得5分。</w:t>
      </w:r>
    </w:p>
    <w:p>
      <w:pPr>
        <w:ind w:firstLine="640" w:firstLineChars="200"/>
        <w:rPr>
          <w:rStyle w:val="20"/>
          <w:rFonts w:hint="default" w:eastAsia="仿宋_GB2312" w:cs="Times New Roman"/>
          <w:sz w:val="32"/>
          <w:lang w:val="en-US" w:eastAsia="zh-CN"/>
        </w:rPr>
      </w:pPr>
      <w:r>
        <w:rPr>
          <w:rStyle w:val="20"/>
          <w:rFonts w:hint="eastAsia" w:eastAsia="仿宋_GB2312" w:cs="Times New Roman"/>
          <w:sz w:val="32"/>
          <w:lang w:eastAsia="zh-CN"/>
        </w:rPr>
        <w:t>2023年曲江区涉农资金项目的实施效果</w:t>
      </w:r>
      <w:r>
        <w:rPr>
          <w:rStyle w:val="20"/>
          <w:rFonts w:hint="eastAsia" w:eastAsia="仿宋_GB2312" w:cs="Times New Roman"/>
          <w:sz w:val="32"/>
          <w:lang w:val="en-US" w:eastAsia="zh-CN"/>
        </w:rPr>
        <w:t>具有良好的</w:t>
      </w:r>
      <w:r>
        <w:rPr>
          <w:rStyle w:val="20"/>
          <w:rFonts w:hint="eastAsia" w:eastAsia="仿宋_GB2312" w:cs="Times New Roman"/>
          <w:sz w:val="32"/>
          <w:lang w:eastAsia="zh-CN"/>
        </w:rPr>
        <w:t>可持续性，</w:t>
      </w:r>
      <w:r>
        <w:rPr>
          <w:rStyle w:val="20"/>
          <w:rFonts w:hint="eastAsia" w:eastAsia="仿宋_GB2312" w:cs="Times New Roman"/>
          <w:sz w:val="32"/>
          <w:lang w:val="en-US" w:eastAsia="zh-CN"/>
        </w:rPr>
        <w:t>主要体现在：</w:t>
      </w:r>
    </w:p>
    <w:p>
      <w:pPr>
        <w:ind w:firstLine="640" w:firstLineChars="200"/>
        <w:rPr>
          <w:rFonts w:ascii="仿宋_GB2312" w:eastAsia="仿宋_GB2312"/>
          <w:bCs/>
          <w:sz w:val="32"/>
          <w:szCs w:val="32"/>
        </w:rPr>
      </w:pPr>
      <w:r>
        <w:rPr>
          <w:rFonts w:hint="eastAsia" w:eastAsia="仿宋_GB2312"/>
          <w:sz w:val="32"/>
          <w:szCs w:val="21"/>
          <w:lang w:val="en-US" w:eastAsia="zh-CN"/>
        </w:rPr>
        <w:t>一是实施的村庄基础设施建设、驻镇帮镇扶村（提升镇村公共基础设施水平）、农村生活污水治理、农村集中供水以及“四好农村路”等类型项目，其建设的内容均为可长期使用的基础设施，有效推动农村短板弱项补齐</w:t>
      </w:r>
      <w:r>
        <w:rPr>
          <w:rFonts w:hint="eastAsia" w:eastAsia="仿宋_GB2312"/>
          <w:sz w:val="32"/>
          <w:szCs w:val="21"/>
        </w:rPr>
        <w:t>，</w:t>
      </w:r>
      <w:r>
        <w:rPr>
          <w:rFonts w:hint="eastAsia" w:eastAsia="仿宋_GB2312"/>
          <w:sz w:val="32"/>
          <w:szCs w:val="21"/>
          <w:lang w:val="en-US" w:eastAsia="zh-CN"/>
        </w:rPr>
        <w:t>并通过</w:t>
      </w:r>
      <w:r>
        <w:rPr>
          <w:rFonts w:hint="eastAsia" w:ascii="仿宋_GB2312" w:hAnsi="仿宋_GB2312" w:eastAsia="仿宋_GB2312" w:cs="仿宋_GB2312"/>
          <w:kern w:val="2"/>
          <w:sz w:val="32"/>
          <w:szCs w:val="21"/>
          <w:lang w:val="en-US" w:eastAsia="zh-CN"/>
        </w:rPr>
        <w:t>建立长效管护机制</w:t>
      </w:r>
      <w:r>
        <w:rPr>
          <w:rFonts w:hint="eastAsia" w:ascii="仿宋_GB2312" w:hAnsi="仿宋_GB2312" w:eastAsia="仿宋_GB2312" w:cs="仿宋_GB2312"/>
          <w:kern w:val="2"/>
          <w:sz w:val="32"/>
          <w:szCs w:val="21"/>
          <w:lang w:eastAsia="zh-CN"/>
        </w:rPr>
        <w:t>，</w:t>
      </w:r>
      <w:r>
        <w:rPr>
          <w:rFonts w:hint="eastAsia" w:ascii="仿宋_GB2312" w:hAnsi="仿宋_GB2312" w:eastAsia="仿宋_GB2312" w:cs="仿宋_GB2312"/>
          <w:kern w:val="2"/>
          <w:sz w:val="32"/>
          <w:szCs w:val="21"/>
          <w:lang w:val="en-US" w:eastAsia="zh-CN"/>
        </w:rPr>
        <w:t>使项目实施效果能够持续发挥作用</w:t>
      </w:r>
      <w:r>
        <w:rPr>
          <w:rFonts w:hint="eastAsia" w:eastAsia="仿宋_GB2312"/>
          <w:sz w:val="32"/>
          <w:szCs w:val="21"/>
          <w:lang w:eastAsia="zh-CN"/>
        </w:rPr>
        <w:t>。</w:t>
      </w:r>
      <w:r>
        <w:rPr>
          <w:rFonts w:hint="eastAsia" w:eastAsia="仿宋_GB2312"/>
          <w:sz w:val="32"/>
          <w:szCs w:val="21"/>
          <w:lang w:val="en-US" w:eastAsia="zh-CN"/>
        </w:rPr>
        <w:t>二是实施的农田建设与管护和推进农业绿色发展等类型项目，</w:t>
      </w:r>
      <w:r>
        <w:rPr>
          <w:rFonts w:hint="eastAsia" w:ascii="仿宋_GB2312" w:hAnsi="仿宋_GB2312" w:eastAsia="仿宋_GB2312" w:cs="仿宋_GB2312"/>
          <w:sz w:val="32"/>
          <w:szCs w:val="32"/>
          <w:highlight w:val="none"/>
          <w:lang w:val="en-US" w:eastAsia="zh-CN"/>
        </w:rPr>
        <w:t>有效改善了农田生态环境和农业生产基础设施条件，提升了农业综合生产能力，夯实农业生产的可持续发展基础。三是实施的造林与生态修复和林业有害生物防控等类型项目，扩大了植被覆盖面积，预防与除治松材线虫病等林业有害生物，有效持续的涵养水源、固碳减排，促进森林资源保护和林业事业发展。四是实施的农村水利水电、水利安全度汛、水利工程运行管护、病险水库水闸除险加固等类型项目，保障了农村水利设施的完好运行以及河道、水库的行洪排涝、灌溉供水、保护水生态环境等方面作用的发挥，可持续发挥保护生态环境、保障农业生产灌溉、保护人民生命财产安全的作用</w:t>
      </w:r>
      <w:r>
        <w:rPr>
          <w:rFonts w:hint="eastAsia" w:eastAsia="仿宋_GB2312"/>
          <w:sz w:val="32"/>
          <w:szCs w:val="21"/>
        </w:rPr>
        <w:t>。</w:t>
      </w:r>
    </w:p>
    <w:p>
      <w:pPr>
        <w:keepNext w:val="0"/>
        <w:keepLines w:val="0"/>
        <w:pageBreakBefore w:val="0"/>
        <w:widowControl w:val="0"/>
        <w:kinsoku/>
        <w:wordWrap/>
        <w:overflowPunct/>
        <w:topLinePunct w:val="0"/>
        <w:autoSpaceDE/>
        <w:autoSpaceDN/>
        <w:bidi w:val="0"/>
        <w:spacing w:line="360" w:lineRule="auto"/>
        <w:ind w:firstLine="642" w:firstLineChars="200"/>
        <w:textAlignment w:val="auto"/>
        <w:rPr>
          <w:rFonts w:hint="eastAsia" w:ascii="楷体" w:hAnsi="楷体" w:eastAsia="楷体" w:cs="楷体"/>
          <w:b/>
          <w:sz w:val="32"/>
          <w:szCs w:val="32"/>
        </w:rPr>
      </w:pPr>
      <w:r>
        <w:rPr>
          <w:rFonts w:hint="eastAsia" w:ascii="楷体" w:hAnsi="楷体" w:eastAsia="楷体" w:cs="楷体"/>
          <w:b/>
          <w:sz w:val="32"/>
          <w:szCs w:val="32"/>
          <w:lang w:val="en-US" w:eastAsia="zh-CN"/>
        </w:rPr>
        <w:t>3</w:t>
      </w:r>
      <w:r>
        <w:rPr>
          <w:rFonts w:hint="eastAsia" w:ascii="楷体" w:hAnsi="楷体" w:eastAsia="楷体" w:cs="楷体"/>
          <w:b/>
          <w:sz w:val="32"/>
          <w:szCs w:val="32"/>
        </w:rPr>
        <w:t>.</w:t>
      </w:r>
      <w:r>
        <w:rPr>
          <w:rFonts w:hint="eastAsia" w:ascii="楷体" w:hAnsi="楷体" w:eastAsia="楷体" w:cs="楷体"/>
          <w:b/>
          <w:sz w:val="32"/>
          <w:szCs w:val="32"/>
          <w:lang w:val="en-US" w:eastAsia="zh-CN"/>
        </w:rPr>
        <w:t xml:space="preserve"> 服务对象满意度</w:t>
      </w:r>
      <w:r>
        <w:rPr>
          <w:rFonts w:hint="eastAsia" w:ascii="楷体" w:hAnsi="楷体" w:eastAsia="楷体" w:cs="楷体"/>
          <w:b/>
          <w:sz w:val="32"/>
          <w:szCs w:val="32"/>
        </w:rPr>
        <w:t>。</w:t>
      </w:r>
    </w:p>
    <w:p>
      <w:p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分值5分，不</w:t>
      </w:r>
      <w:r>
        <w:rPr>
          <w:rFonts w:hint="eastAsia" w:ascii="仿宋_GB2312" w:hAnsi="仿宋_GB2312" w:eastAsia="仿宋_GB2312" w:cs="仿宋_GB2312"/>
          <w:sz w:val="32"/>
        </w:rPr>
        <w:t>扣分</w:t>
      </w:r>
      <w:r>
        <w:rPr>
          <w:rFonts w:hint="eastAsia" w:ascii="仿宋_GB2312" w:hAnsi="仿宋_GB2312" w:eastAsia="仿宋_GB2312" w:cs="仿宋_GB2312"/>
          <w:sz w:val="32"/>
          <w:highlight w:val="none"/>
          <w:lang w:val="en-US" w:eastAsia="zh-CN"/>
        </w:rPr>
        <w:t>，得5分。</w:t>
      </w:r>
    </w:p>
    <w:p>
      <w:p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在本次绩效评价过程中，评价工作组现场走访了</w:t>
      </w:r>
      <w:r>
        <w:rPr>
          <w:rStyle w:val="20"/>
          <w:rFonts w:hint="eastAsia" w:eastAsia="仿宋_GB2312" w:cs="Times New Roman"/>
          <w:sz w:val="32"/>
          <w:lang w:eastAsia="zh-CN"/>
        </w:rPr>
        <w:t>2023</w:t>
      </w:r>
      <w:r>
        <w:rPr>
          <w:rStyle w:val="20"/>
          <w:rFonts w:hint="eastAsia" w:cs="Times New Roman"/>
          <w:sz w:val="32"/>
        </w:rPr>
        <w:t>年曲</w:t>
      </w:r>
      <w:r>
        <w:rPr>
          <w:rFonts w:hint="eastAsia" w:eastAsia="仿宋_GB2312"/>
          <w:sz w:val="32"/>
          <w:szCs w:val="21"/>
        </w:rPr>
        <w:t>江区省级涉农统筹整合转移支付资金项目</w:t>
      </w:r>
      <w:r>
        <w:rPr>
          <w:rFonts w:hint="eastAsia" w:eastAsia="仿宋_GB2312"/>
          <w:sz w:val="32"/>
          <w:szCs w:val="21"/>
          <w:lang w:val="en-US" w:eastAsia="zh-CN"/>
        </w:rPr>
        <w:t>实施范围的农村居民</w:t>
      </w:r>
      <w:r>
        <w:rPr>
          <w:rFonts w:hint="eastAsia" w:ascii="仿宋_GB2312" w:hAnsi="仿宋_GB2312" w:eastAsia="仿宋_GB2312" w:cs="仿宋_GB2312"/>
          <w:sz w:val="32"/>
          <w:szCs w:val="32"/>
          <w:highlight w:val="none"/>
          <w:lang w:val="en-US" w:eastAsia="zh-CN"/>
        </w:rPr>
        <w:t>，受访农村居民群众对涉农资金项目的实施均表示满意，对提升了其生活环境，提高收入发挥了良好效果。</w:t>
      </w:r>
    </w:p>
    <w:p>
      <w:pPr>
        <w:spacing w:line="360" w:lineRule="auto"/>
        <w:ind w:firstLine="640" w:firstLineChars="200"/>
        <w:outlineLvl w:val="0"/>
        <w:rPr>
          <w:rFonts w:ascii="Times New Roman" w:hAnsi="Times New Roman" w:eastAsia="黑体" w:cs="Times New Roman"/>
          <w:sz w:val="32"/>
          <w:szCs w:val="32"/>
        </w:rPr>
      </w:pPr>
      <w:r>
        <w:rPr>
          <w:rFonts w:hint="eastAsia" w:ascii="Times New Roman" w:hAnsi="Times New Roman" w:eastAsia="黑体" w:cs="Times New Roman"/>
          <w:sz w:val="32"/>
          <w:szCs w:val="32"/>
        </w:rPr>
        <w:t>四、主要绩效</w:t>
      </w:r>
      <w:bookmarkEnd w:id="22"/>
    </w:p>
    <w:p>
      <w:pPr>
        <w:spacing w:line="360" w:lineRule="auto"/>
        <w:ind w:firstLine="642" w:firstLineChars="200"/>
        <w:outlineLvl w:val="1"/>
        <w:rPr>
          <w:rFonts w:hint="eastAsia" w:ascii="楷体" w:hAnsi="楷体" w:eastAsia="楷体" w:cs="楷体"/>
          <w:b/>
          <w:bCs/>
          <w:sz w:val="32"/>
          <w:szCs w:val="32"/>
          <w:lang w:val="en-US" w:eastAsia="zh-CN"/>
        </w:rPr>
      </w:pPr>
      <w:bookmarkStart w:id="23" w:name="_Toc96960262"/>
      <w:bookmarkStart w:id="24" w:name="_Toc96960261"/>
      <w:bookmarkStart w:id="25" w:name="_Toc18251"/>
      <w:bookmarkStart w:id="26" w:name="_Toc6479"/>
      <w:bookmarkStart w:id="27" w:name="_Toc6987"/>
      <w:r>
        <w:rPr>
          <w:rFonts w:hint="eastAsia" w:ascii="楷体" w:hAnsi="楷体" w:eastAsia="楷体" w:cs="楷体"/>
          <w:b/>
          <w:bCs/>
          <w:sz w:val="32"/>
          <w:szCs w:val="32"/>
        </w:rPr>
        <w:t>（</w:t>
      </w:r>
      <w:r>
        <w:rPr>
          <w:rFonts w:hint="eastAsia" w:ascii="楷体" w:hAnsi="楷体" w:eastAsia="楷体" w:cs="楷体"/>
          <w:b/>
          <w:bCs/>
          <w:sz w:val="32"/>
          <w:szCs w:val="32"/>
          <w:lang w:val="en-US" w:eastAsia="zh-CN"/>
        </w:rPr>
        <w:t>一</w:t>
      </w:r>
      <w:r>
        <w:rPr>
          <w:rFonts w:hint="eastAsia" w:ascii="楷体" w:hAnsi="楷体" w:eastAsia="楷体" w:cs="楷体"/>
          <w:b/>
          <w:bCs/>
          <w:sz w:val="32"/>
          <w:szCs w:val="32"/>
        </w:rPr>
        <w:t>）</w:t>
      </w:r>
      <w:bookmarkEnd w:id="23"/>
      <w:r>
        <w:rPr>
          <w:rFonts w:hint="eastAsia" w:ascii="楷体" w:hAnsi="楷体" w:eastAsia="楷体" w:cs="楷体"/>
          <w:b/>
          <w:bCs/>
          <w:kern w:val="2"/>
          <w:sz w:val="32"/>
          <w:highlight w:val="none"/>
        </w:rPr>
        <w:t>推进农村人居环境整治提升，打造宜居宜业和美乡村</w:t>
      </w:r>
    </w:p>
    <w:p>
      <w:pPr>
        <w:pStyle w:val="29"/>
        <w:keepNext w:val="0"/>
        <w:keepLines w:val="0"/>
        <w:pageBreakBefore w:val="0"/>
        <w:kinsoku/>
        <w:wordWrap/>
        <w:overflowPunct/>
        <w:topLinePunct w:val="0"/>
        <w:autoSpaceDE/>
        <w:autoSpaceDN/>
        <w:bidi w:val="0"/>
        <w:snapToGrid/>
        <w:spacing w:line="593" w:lineRule="exact"/>
        <w:rPr>
          <w:rFonts w:hint="eastAsia" w:cs="仿宋_GB2312"/>
          <w:bCs/>
          <w:color w:val="auto"/>
          <w:kern w:val="0"/>
          <w:sz w:val="32"/>
          <w:szCs w:val="32"/>
          <w:highlight w:val="none"/>
          <w:shd w:val="clear" w:color="auto" w:fill="FFFFFF"/>
          <w:lang w:val="en-US" w:eastAsia="zh-CN"/>
        </w:rPr>
      </w:pPr>
      <w:r>
        <w:rPr>
          <w:rFonts w:hint="eastAsia"/>
          <w:bCs/>
          <w:sz w:val="32"/>
          <w:szCs w:val="32"/>
          <w:lang w:val="en-US" w:eastAsia="zh-CN"/>
        </w:rPr>
        <w:t>曲江区2023年持续推进村庄基础设施建设，打造宜居宜业和美乡村，</w:t>
      </w:r>
      <w:r>
        <w:rPr>
          <w:rFonts w:hint="eastAsia" w:cs="仿宋_GB2312"/>
          <w:bCs/>
          <w:color w:val="auto"/>
          <w:kern w:val="0"/>
          <w:sz w:val="32"/>
          <w:szCs w:val="32"/>
          <w:highlight w:val="none"/>
          <w:shd w:val="clear" w:color="auto" w:fill="FFFFFF"/>
          <w:lang w:val="en-US" w:eastAsia="zh-CN"/>
        </w:rPr>
        <w:t>着力</w:t>
      </w:r>
      <w:r>
        <w:rPr>
          <w:rFonts w:hint="eastAsia" w:ascii="仿宋_GB2312" w:hAnsi="仿宋_GB2312" w:eastAsia="仿宋_GB2312" w:cs="仿宋_GB2312"/>
          <w:bCs/>
          <w:color w:val="auto"/>
          <w:kern w:val="0"/>
          <w:sz w:val="32"/>
          <w:szCs w:val="32"/>
          <w:highlight w:val="none"/>
          <w:shd w:val="clear" w:color="auto" w:fill="FFFFFF"/>
          <w:lang w:val="en-US" w:eastAsia="zh-CN"/>
        </w:rPr>
        <w:t>农村风貌管控和人居环境整治</w:t>
      </w:r>
      <w:r>
        <w:rPr>
          <w:rFonts w:hint="eastAsia" w:cs="仿宋_GB2312"/>
          <w:bCs/>
          <w:color w:val="auto"/>
          <w:kern w:val="0"/>
          <w:sz w:val="32"/>
          <w:szCs w:val="32"/>
          <w:highlight w:val="none"/>
          <w:shd w:val="clear" w:color="auto" w:fill="FFFFFF"/>
          <w:lang w:val="en-US" w:eastAsia="zh-CN"/>
        </w:rPr>
        <w:t>提升</w:t>
      </w:r>
      <w:r>
        <w:rPr>
          <w:rFonts w:hint="eastAsia" w:ascii="仿宋_GB2312" w:hAnsi="仿宋_GB2312" w:eastAsia="仿宋_GB2312" w:cs="仿宋_GB2312"/>
          <w:bCs/>
          <w:color w:val="auto"/>
          <w:kern w:val="0"/>
          <w:sz w:val="32"/>
          <w:szCs w:val="32"/>
          <w:highlight w:val="none"/>
          <w:shd w:val="clear" w:color="auto" w:fill="FFFFFF"/>
          <w:lang w:val="en-US" w:eastAsia="zh-CN"/>
        </w:rPr>
        <w:t>，巩固农村厕所问题摸排整改成果，提升农村生活污水治理能力，统筹城乡公共服务和基础设施建设</w:t>
      </w:r>
      <w:r>
        <w:rPr>
          <w:rFonts w:hint="eastAsia" w:cs="仿宋_GB2312"/>
          <w:bCs/>
          <w:color w:val="auto"/>
          <w:kern w:val="0"/>
          <w:sz w:val="32"/>
          <w:szCs w:val="32"/>
          <w:highlight w:val="none"/>
          <w:shd w:val="clear" w:color="auto" w:fill="FFFFFF"/>
          <w:lang w:val="en-US" w:eastAsia="zh-CN"/>
        </w:rPr>
        <w:t>。截至2023年底，全区</w:t>
      </w:r>
      <w:r>
        <w:rPr>
          <w:rFonts w:hint="eastAsia" w:ascii="仿宋_GB2312" w:hAnsi="仿宋_GB2312" w:eastAsia="仿宋_GB2312" w:cs="仿宋_GB2312"/>
          <w:bCs/>
          <w:color w:val="auto"/>
          <w:kern w:val="0"/>
          <w:sz w:val="32"/>
          <w:szCs w:val="32"/>
          <w:highlight w:val="none"/>
          <w:shd w:val="clear" w:color="auto" w:fill="FFFFFF"/>
          <w:lang w:val="en-US" w:eastAsia="zh-CN"/>
        </w:rPr>
        <w:t>干净整洁村标准以上覆盖率达100%、美丽宜居村标准以上覆盖率达77.91%</w:t>
      </w:r>
      <w:r>
        <w:rPr>
          <w:rFonts w:hint="eastAsia" w:cs="仿宋_GB2312"/>
          <w:bCs/>
          <w:color w:val="auto"/>
          <w:kern w:val="0"/>
          <w:sz w:val="32"/>
          <w:szCs w:val="32"/>
          <w:highlight w:val="none"/>
          <w:shd w:val="clear" w:color="auto" w:fill="FFFFFF"/>
          <w:lang w:val="en-US" w:eastAsia="zh-CN"/>
        </w:rPr>
        <w:t>。</w:t>
      </w:r>
    </w:p>
    <w:p>
      <w:pPr>
        <w:pStyle w:val="29"/>
        <w:keepNext w:val="0"/>
        <w:keepLines w:val="0"/>
        <w:pageBreakBefore w:val="0"/>
        <w:kinsoku/>
        <w:wordWrap/>
        <w:overflowPunct/>
        <w:topLinePunct w:val="0"/>
        <w:autoSpaceDE/>
        <w:autoSpaceDN/>
        <w:bidi w:val="0"/>
        <w:snapToGrid/>
        <w:spacing w:line="593" w:lineRule="exact"/>
        <w:rPr>
          <w:rFonts w:hint="default" w:eastAsia="仿宋_GB2312"/>
          <w:b/>
          <w:bCs/>
          <w:color w:val="auto"/>
          <w:szCs w:val="32"/>
          <w:highlight w:val="none"/>
          <w:lang w:val="en-US" w:eastAsia="zh-CN"/>
        </w:rPr>
      </w:pPr>
      <w:r>
        <w:rPr>
          <w:rFonts w:hint="eastAsia" w:cs="仿宋_GB2312"/>
          <w:bCs/>
          <w:color w:val="auto"/>
          <w:kern w:val="0"/>
          <w:sz w:val="32"/>
          <w:szCs w:val="32"/>
          <w:highlight w:val="none"/>
          <w:shd w:val="clear" w:color="auto" w:fill="FFFFFF"/>
          <w:lang w:val="en-US" w:eastAsia="zh-CN"/>
        </w:rPr>
        <w:t>一是</w:t>
      </w:r>
      <w:r>
        <w:rPr>
          <w:rFonts w:hint="eastAsia" w:ascii="仿宋_GB2312" w:hAnsi="仿宋_GB2312" w:eastAsia="仿宋_GB2312" w:cs="仿宋_GB2312"/>
          <w:bCs/>
          <w:color w:val="auto"/>
          <w:kern w:val="0"/>
          <w:sz w:val="32"/>
          <w:szCs w:val="32"/>
          <w:highlight w:val="none"/>
          <w:shd w:val="clear" w:color="auto" w:fill="FFFFFF"/>
          <w:lang w:val="en-US" w:eastAsia="zh-CN"/>
        </w:rPr>
        <w:t>新增打造特色精品村11个，建成总长17千米的马坝水文-沙溪东华乡村振兴示范带，打造了水文高速桥底、龙岗省级红色村、浴塘村时光隧道等本地网红点，把马坝人遗址公园、南华寺等特色景点串联成带，以“红色文旅”+“遗址经济”+“禅宗康养”打造属于曲江的“文旅产业带”</w:t>
      </w:r>
      <w:r>
        <w:rPr>
          <w:rFonts w:hint="eastAsia" w:cs="仿宋_GB2312"/>
          <w:bCs/>
          <w:color w:val="auto"/>
          <w:kern w:val="0"/>
          <w:sz w:val="32"/>
          <w:szCs w:val="32"/>
          <w:highlight w:val="none"/>
          <w:shd w:val="clear" w:color="auto" w:fill="FFFFFF"/>
          <w:lang w:val="en-US" w:eastAsia="zh-CN"/>
        </w:rPr>
        <w:t>。二是制定并印发了《韶关市曲江区农村人居环境整治长效管护方案》（韶曲委办发〔2023〕11号 ）</w:t>
      </w:r>
      <w:r>
        <w:rPr>
          <w:rFonts w:hint="eastAsia" w:ascii="仿宋_GB2312" w:hAnsi="仿宋_GB2312" w:eastAsia="仿宋_GB2312" w:cs="仿宋_GB2312"/>
          <w:bCs/>
          <w:color w:val="auto"/>
          <w:kern w:val="0"/>
          <w:sz w:val="32"/>
          <w:szCs w:val="32"/>
          <w:highlight w:val="none"/>
          <w:shd w:val="clear" w:color="auto" w:fill="FFFFFF"/>
          <w:lang w:val="en-US" w:eastAsia="zh-CN"/>
        </w:rPr>
        <w:t>，建立了有制度、有标准、有队伍、有经费、有监督的农村人居环境长效管护机制，巩固美丽乡村建设成果，保证农村基础设施和公共服务设施正常运转，不断改善农村人居环境，实现全区美丽乡村长治久美</w:t>
      </w:r>
      <w:r>
        <w:rPr>
          <w:rFonts w:hint="eastAsia" w:cs="仿宋_GB2312"/>
          <w:bCs/>
          <w:color w:val="auto"/>
          <w:kern w:val="0"/>
          <w:sz w:val="32"/>
          <w:szCs w:val="32"/>
          <w:highlight w:val="none"/>
          <w:shd w:val="clear" w:color="auto" w:fill="FFFFFF"/>
          <w:lang w:val="en-US" w:eastAsia="zh-CN"/>
        </w:rPr>
        <w:t>。三是</w:t>
      </w:r>
      <w:r>
        <w:rPr>
          <w:rFonts w:hint="eastAsia" w:ascii="仿宋_GB2312" w:hAnsi="仿宋_GB2312" w:eastAsia="仿宋_GB2312" w:cs="仿宋_GB2312"/>
          <w:bCs/>
          <w:color w:val="auto"/>
          <w:kern w:val="0"/>
          <w:sz w:val="32"/>
          <w:szCs w:val="32"/>
          <w:highlight w:val="none"/>
          <w:shd w:val="clear" w:color="auto" w:fill="FFFFFF"/>
          <w:lang w:val="en-US" w:eastAsia="zh-CN"/>
        </w:rPr>
        <w:t>开展农村改厕“提质年”工作，组织农村改厕问题摸排，聚焦重点问题、紧盯薄弱环节</w:t>
      </w:r>
      <w:r>
        <w:rPr>
          <w:rFonts w:hint="eastAsia" w:cs="仿宋_GB2312"/>
          <w:bCs/>
          <w:color w:val="auto"/>
          <w:kern w:val="0"/>
          <w:sz w:val="32"/>
          <w:szCs w:val="32"/>
          <w:highlight w:val="none"/>
          <w:shd w:val="clear" w:color="auto" w:fill="FFFFFF"/>
          <w:lang w:val="en-US" w:eastAsia="zh-CN"/>
        </w:rPr>
        <w:t>，</w:t>
      </w:r>
      <w:r>
        <w:rPr>
          <w:rFonts w:hint="eastAsia" w:ascii="仿宋_GB2312" w:hAnsi="仿宋_GB2312" w:eastAsia="仿宋_GB2312" w:cs="仿宋_GB2312"/>
          <w:bCs/>
          <w:color w:val="auto"/>
          <w:kern w:val="0"/>
          <w:sz w:val="32"/>
          <w:szCs w:val="32"/>
          <w:highlight w:val="none"/>
          <w:shd w:val="clear" w:color="auto" w:fill="FFFFFF"/>
          <w:lang w:val="en-US" w:eastAsia="zh-CN"/>
        </w:rPr>
        <w:t>扎实推进问题厕所整改、新建厕所</w:t>
      </w:r>
      <w:r>
        <w:rPr>
          <w:rFonts w:hint="eastAsia" w:cs="仿宋_GB2312"/>
          <w:bCs/>
          <w:color w:val="auto"/>
          <w:kern w:val="0"/>
          <w:sz w:val="32"/>
          <w:szCs w:val="32"/>
          <w:highlight w:val="none"/>
          <w:shd w:val="clear" w:color="auto" w:fill="FFFFFF"/>
          <w:lang w:val="en-US" w:eastAsia="zh-CN"/>
        </w:rPr>
        <w:t>高</w:t>
      </w:r>
      <w:r>
        <w:rPr>
          <w:rFonts w:hint="eastAsia" w:ascii="仿宋_GB2312" w:hAnsi="仿宋_GB2312" w:eastAsia="仿宋_GB2312" w:cs="仿宋_GB2312"/>
          <w:bCs/>
          <w:color w:val="auto"/>
          <w:kern w:val="0"/>
          <w:sz w:val="32"/>
          <w:szCs w:val="32"/>
          <w:highlight w:val="none"/>
          <w:shd w:val="clear" w:color="auto" w:fill="FFFFFF"/>
          <w:lang w:val="en-US" w:eastAsia="zh-CN"/>
        </w:rPr>
        <w:t>质量</w:t>
      </w:r>
      <w:r>
        <w:rPr>
          <w:rFonts w:hint="eastAsia" w:cs="仿宋_GB2312"/>
          <w:bCs/>
          <w:color w:val="auto"/>
          <w:kern w:val="0"/>
          <w:sz w:val="32"/>
          <w:szCs w:val="32"/>
          <w:highlight w:val="none"/>
          <w:shd w:val="clear" w:color="auto" w:fill="FFFFFF"/>
          <w:lang w:val="en-US" w:eastAsia="zh-CN"/>
        </w:rPr>
        <w:t>建设，2023年全区共</w:t>
      </w:r>
      <w:r>
        <w:rPr>
          <w:rFonts w:hint="eastAsia" w:ascii="仿宋_GB2312" w:hAnsi="仿宋_GB2312" w:eastAsia="仿宋_GB2312" w:cs="仿宋_GB2312"/>
          <w:bCs/>
          <w:color w:val="auto"/>
          <w:kern w:val="0"/>
          <w:sz w:val="32"/>
          <w:szCs w:val="32"/>
          <w:highlight w:val="none"/>
          <w:shd w:val="clear" w:color="auto" w:fill="FFFFFF"/>
          <w:lang w:val="en-US" w:eastAsia="zh-CN"/>
        </w:rPr>
        <w:t>发放农村改厕“明白卡”5000张，新改建户厕44个、公厕5个</w:t>
      </w:r>
      <w:r>
        <w:rPr>
          <w:rFonts w:hint="eastAsia" w:cs="仿宋_GB2312"/>
          <w:bCs/>
          <w:color w:val="auto"/>
          <w:kern w:val="0"/>
          <w:sz w:val="32"/>
          <w:szCs w:val="32"/>
          <w:highlight w:val="none"/>
          <w:shd w:val="clear" w:color="auto" w:fill="FFFFFF"/>
          <w:lang w:val="en-US" w:eastAsia="zh-CN"/>
        </w:rPr>
        <w:t>。四是</w:t>
      </w:r>
      <w:r>
        <w:rPr>
          <w:rFonts w:hint="eastAsia" w:ascii="仿宋_GB2312" w:hAnsi="仿宋_GB2312" w:eastAsia="仿宋_GB2312" w:cs="仿宋_GB2312"/>
          <w:b w:val="0"/>
          <w:bCs w:val="0"/>
          <w:color w:val="auto"/>
          <w:spacing w:val="0"/>
          <w:kern w:val="0"/>
          <w:sz w:val="32"/>
          <w:szCs w:val="22"/>
          <w:highlight w:val="none"/>
          <w:lang w:val="en-US" w:eastAsia="zh-CN" w:bidi="ar-SA"/>
        </w:rPr>
        <w:t>开展“美丽庭院”创建行动。制定《韶关市曲江区“美丽庭院”创建三年行动方案》，评选100户区级“美丽庭院”</w:t>
      </w:r>
      <w:r>
        <w:rPr>
          <w:rFonts w:hint="eastAsia" w:cs="仿宋_GB2312"/>
          <w:b w:val="0"/>
          <w:bCs w:val="0"/>
          <w:color w:val="auto"/>
          <w:spacing w:val="0"/>
          <w:kern w:val="0"/>
          <w:sz w:val="32"/>
          <w:szCs w:val="22"/>
          <w:highlight w:val="none"/>
          <w:lang w:val="en-US" w:eastAsia="zh-CN" w:bidi="ar-SA"/>
        </w:rPr>
        <w:t>。五是</w:t>
      </w:r>
      <w:r>
        <w:rPr>
          <w:rFonts w:hint="eastAsia" w:cs="仿宋_GB2312"/>
          <w:bCs/>
          <w:color w:val="auto"/>
          <w:kern w:val="0"/>
          <w:sz w:val="32"/>
          <w:szCs w:val="32"/>
          <w:highlight w:val="none"/>
          <w:shd w:val="clear" w:color="auto" w:fill="FFFFFF"/>
          <w:lang w:val="en-US" w:eastAsia="zh-CN"/>
        </w:rPr>
        <w:t>持续开展农村生活污水治理攻坚行动，完成22个自然村农村生活污水设施的整改提升工作，新增完成22个自然村农村生活污水治理认定。截至2023年底，全区1150个自然村中811个自然村已认定完成农村生活污水治理，农村生活污水治理率达到70.52%。六是</w:t>
      </w:r>
      <w:r>
        <w:rPr>
          <w:rFonts w:hint="eastAsia" w:ascii="仿宋_GB2312" w:hAnsi="仿宋_GB2312" w:eastAsia="仿宋_GB2312" w:cs="仿宋_GB2312"/>
          <w:b w:val="0"/>
          <w:bCs w:val="0"/>
          <w:color w:val="auto"/>
          <w:spacing w:val="0"/>
          <w:kern w:val="0"/>
          <w:sz w:val="32"/>
          <w:szCs w:val="22"/>
          <w:highlight w:val="none"/>
          <w:lang w:val="en-US" w:eastAsia="zh-CN" w:bidi="ar-SA"/>
        </w:rPr>
        <w:t>印发《韶关市曲江区农村“赤膊房”美化行动奖补工作方案</w:t>
      </w:r>
      <w:r>
        <w:rPr>
          <w:rFonts w:hint="eastAsia" w:ascii="仿宋_GB2312" w:hAnsi="仿宋_GB2312" w:eastAsia="仿宋_GB2312" w:cs="仿宋_GB2312"/>
          <w:b w:val="0"/>
          <w:bCs/>
          <w:color w:val="auto"/>
          <w:kern w:val="2"/>
          <w:sz w:val="32"/>
          <w:szCs w:val="32"/>
          <w:highlight w:val="none"/>
          <w:lang w:val="en-US" w:eastAsia="zh-CN" w:bidi="ar-SA"/>
        </w:rPr>
        <w:t>》，完成100栋农房风貌提</w:t>
      </w:r>
      <w:r>
        <w:rPr>
          <w:rFonts w:hint="eastAsia" w:ascii="仿宋_GB2312" w:hAnsi="仿宋_GB2312" w:eastAsia="仿宋_GB2312" w:cs="仿宋_GB2312"/>
          <w:b w:val="0"/>
          <w:bCs w:val="0"/>
          <w:color w:val="auto"/>
          <w:spacing w:val="0"/>
          <w:kern w:val="0"/>
          <w:sz w:val="32"/>
          <w:szCs w:val="22"/>
          <w:highlight w:val="none"/>
          <w:lang w:val="en-US" w:eastAsia="zh-CN" w:bidi="ar-SA"/>
        </w:rPr>
        <w:t>升</w:t>
      </w:r>
      <w:r>
        <w:rPr>
          <w:rFonts w:hint="eastAsia" w:cs="仿宋_GB2312"/>
          <w:b w:val="0"/>
          <w:bCs w:val="0"/>
          <w:color w:val="auto"/>
          <w:spacing w:val="0"/>
          <w:kern w:val="0"/>
          <w:sz w:val="32"/>
          <w:szCs w:val="22"/>
          <w:highlight w:val="none"/>
          <w:lang w:val="en-US" w:eastAsia="zh-CN" w:bidi="ar-SA"/>
        </w:rPr>
        <w:t>，</w:t>
      </w:r>
      <w:r>
        <w:rPr>
          <w:rFonts w:hint="eastAsia" w:ascii="仿宋_GB2312" w:hAnsi="仿宋_GB2312" w:eastAsia="仿宋_GB2312" w:cs="仿宋_GB2312"/>
          <w:b w:val="0"/>
          <w:bCs w:val="0"/>
          <w:color w:val="auto"/>
          <w:spacing w:val="0"/>
          <w:kern w:val="0"/>
          <w:sz w:val="32"/>
          <w:szCs w:val="22"/>
          <w:highlight w:val="none"/>
          <w:lang w:val="en-US" w:eastAsia="zh-CN" w:bidi="ar-SA"/>
        </w:rPr>
        <w:t>开展“两违”建筑整治清拆，拆除违建140宗、总建筑面积110544平方米</w:t>
      </w:r>
      <w:r>
        <w:rPr>
          <w:rFonts w:hint="eastAsia" w:cs="仿宋_GB2312"/>
          <w:b w:val="0"/>
          <w:bCs w:val="0"/>
          <w:color w:val="auto"/>
          <w:spacing w:val="0"/>
          <w:kern w:val="0"/>
          <w:sz w:val="32"/>
          <w:szCs w:val="22"/>
          <w:highlight w:val="none"/>
          <w:lang w:val="en-US" w:eastAsia="zh-CN" w:bidi="ar-SA"/>
        </w:rPr>
        <w:t>，</w:t>
      </w:r>
      <w:r>
        <w:rPr>
          <w:rFonts w:hint="eastAsia" w:ascii="仿宋_GB2312" w:hAnsi="仿宋_GB2312" w:eastAsia="仿宋_GB2312" w:cs="仿宋_GB2312"/>
          <w:b w:val="0"/>
          <w:bCs w:val="0"/>
          <w:color w:val="auto"/>
          <w:spacing w:val="0"/>
          <w:kern w:val="0"/>
          <w:sz w:val="32"/>
          <w:szCs w:val="22"/>
          <w:highlight w:val="none"/>
          <w:lang w:val="en-US" w:eastAsia="zh-CN" w:bidi="ar-SA"/>
        </w:rPr>
        <w:t>开展农村房屋安全隐患整治工作，完成182栋存在风险的</w:t>
      </w:r>
      <w:r>
        <w:rPr>
          <w:rFonts w:hint="eastAsia" w:cs="仿宋_GB2312"/>
          <w:b w:val="0"/>
          <w:bCs w:val="0"/>
          <w:color w:val="auto"/>
          <w:spacing w:val="0"/>
          <w:kern w:val="0"/>
          <w:sz w:val="32"/>
          <w:szCs w:val="22"/>
          <w:highlight w:val="none"/>
          <w:lang w:val="en-US" w:eastAsia="zh-CN" w:bidi="ar-SA"/>
        </w:rPr>
        <w:t>农村</w:t>
      </w:r>
      <w:r>
        <w:rPr>
          <w:rFonts w:hint="eastAsia" w:ascii="仿宋_GB2312" w:hAnsi="仿宋_GB2312" w:eastAsia="仿宋_GB2312" w:cs="仿宋_GB2312"/>
          <w:b w:val="0"/>
          <w:bCs w:val="0"/>
          <w:color w:val="auto"/>
          <w:spacing w:val="0"/>
          <w:kern w:val="0"/>
          <w:sz w:val="32"/>
          <w:szCs w:val="22"/>
          <w:highlight w:val="none"/>
          <w:lang w:val="en-US" w:eastAsia="zh-CN" w:bidi="ar-SA"/>
        </w:rPr>
        <w:t>房屋整治，完成农村危房改造20户。</w:t>
      </w:r>
    </w:p>
    <w:p>
      <w:pPr>
        <w:spacing w:line="360" w:lineRule="auto"/>
        <w:ind w:firstLine="642" w:firstLineChars="200"/>
        <w:outlineLvl w:val="1"/>
        <w:rPr>
          <w:rFonts w:hint="eastAsia" w:ascii="楷体" w:hAnsi="楷体" w:eastAsia="楷体" w:cs="楷体"/>
          <w:b/>
          <w:bCs/>
          <w:sz w:val="32"/>
          <w:szCs w:val="32"/>
        </w:rPr>
      </w:pPr>
      <w:r>
        <w:rPr>
          <w:rFonts w:hint="eastAsia" w:ascii="楷体" w:hAnsi="楷体" w:eastAsia="楷体" w:cs="楷体"/>
          <w:b/>
          <w:bCs/>
          <w:sz w:val="32"/>
          <w:szCs w:val="32"/>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rPr>
        <w:t>）</w:t>
      </w:r>
      <w:bookmarkEnd w:id="24"/>
      <w:bookmarkEnd w:id="25"/>
      <w:r>
        <w:rPr>
          <w:rFonts w:hint="eastAsia" w:ascii="楷体" w:hAnsi="楷体" w:eastAsia="楷体" w:cs="楷体"/>
          <w:b/>
          <w:bCs/>
          <w:sz w:val="32"/>
          <w:szCs w:val="32"/>
          <w:lang w:val="en-US" w:eastAsia="zh-CN"/>
        </w:rPr>
        <w:t>多措并举保</w:t>
      </w:r>
      <w:r>
        <w:rPr>
          <w:rFonts w:hint="eastAsia" w:ascii="楷体" w:hAnsi="楷体" w:eastAsia="楷体" w:cs="楷体"/>
          <w:b/>
          <w:bCs/>
          <w:sz w:val="32"/>
          <w:szCs w:val="32"/>
        </w:rPr>
        <w:t>障粮食生产安全</w:t>
      </w:r>
    </w:p>
    <w:p>
      <w:pPr>
        <w:pStyle w:val="5"/>
        <w:ind w:firstLine="640" w:firstLineChars="200"/>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kern w:val="2"/>
          <w:sz w:val="32"/>
          <w:lang w:val="en-US" w:eastAsia="zh-CN"/>
        </w:rPr>
        <w:t>曲江区</w:t>
      </w:r>
      <w:r>
        <w:rPr>
          <w:rFonts w:hint="eastAsia" w:ascii="仿宋_GB2312" w:hAnsi="仿宋_GB2312" w:eastAsia="仿宋_GB2312" w:cs="仿宋_GB2312"/>
          <w:kern w:val="2"/>
          <w:sz w:val="32"/>
          <w:lang w:eastAsia="zh-CN"/>
        </w:rPr>
        <w:t>高度重视粮食生产工作，严格落实粮食安全责任，推进农田水利建设，科学合理利用耕地，切实巩固提升粮食综合生产能力</w:t>
      </w:r>
      <w:r>
        <w:rPr>
          <w:rFonts w:hint="eastAsia" w:ascii="仿宋_GB2312" w:hAnsi="仿宋_GB2312" w:eastAsia="仿宋_GB2312" w:cs="仿宋_GB2312"/>
          <w:kern w:val="2"/>
          <w:sz w:val="32"/>
        </w:rPr>
        <w:t>。</w:t>
      </w:r>
      <w:r>
        <w:rPr>
          <w:rFonts w:hint="eastAsia" w:ascii="仿宋_GB2312" w:hAnsi="仿宋_GB2312" w:eastAsia="仿宋_GB2312" w:cs="仿宋_GB2312"/>
          <w:kern w:val="2"/>
          <w:sz w:val="32"/>
          <w:lang w:val="en-US" w:eastAsia="zh-CN"/>
        </w:rPr>
        <w:t>2023年曲江区</w:t>
      </w:r>
      <w:r>
        <w:rPr>
          <w:rFonts w:hint="eastAsia" w:ascii="仿宋_GB2312" w:hAnsi="仿宋_GB2312" w:eastAsia="仿宋_GB2312" w:cs="仿宋_GB2312"/>
          <w:b w:val="0"/>
          <w:bCs w:val="0"/>
          <w:kern w:val="2"/>
          <w:sz w:val="32"/>
        </w:rPr>
        <w:t>全年粮食播种面积17.757万亩，全年粮食产量7.594万吨</w:t>
      </w:r>
      <w:r>
        <w:rPr>
          <w:rFonts w:hint="eastAsia" w:ascii="仿宋_GB2312" w:hAnsi="仿宋_GB2312" w:eastAsia="仿宋_GB2312" w:cs="仿宋_GB2312"/>
          <w:b w:val="0"/>
          <w:bCs w:val="0"/>
          <w:kern w:val="2"/>
          <w:sz w:val="32"/>
          <w:lang w:eastAsia="zh-CN"/>
        </w:rPr>
        <w:t>，</w:t>
      </w:r>
      <w:r>
        <w:rPr>
          <w:rFonts w:hint="eastAsia" w:ascii="仿宋_GB2312" w:hAnsi="仿宋_GB2312" w:eastAsia="仿宋_GB2312" w:cs="仿宋_GB2312"/>
          <w:b w:val="0"/>
          <w:bCs w:val="0"/>
          <w:kern w:val="2"/>
          <w:sz w:val="32"/>
        </w:rPr>
        <w:t>大豆播种面积0.35万亩，油料播种面积4.96万亩，</w:t>
      </w:r>
      <w:r>
        <w:rPr>
          <w:rFonts w:hint="eastAsia" w:ascii="仿宋_GB2312" w:hAnsi="仿宋_GB2312" w:eastAsia="仿宋_GB2312" w:cs="仿宋_GB2312"/>
          <w:b w:val="0"/>
          <w:bCs w:val="0"/>
          <w:kern w:val="2"/>
          <w:sz w:val="32"/>
          <w:highlight w:val="none"/>
          <w:lang w:val="en-US" w:eastAsia="zh-CN"/>
        </w:rPr>
        <w:t>完成了年度粮食生产任务</w:t>
      </w:r>
      <w:r>
        <w:rPr>
          <w:rFonts w:hint="eastAsia" w:ascii="仿宋_GB2312" w:hAnsi="仿宋_GB2312" w:eastAsia="仿宋_GB2312" w:cs="仿宋_GB2312"/>
          <w:b w:val="0"/>
          <w:bCs w:val="0"/>
          <w:kern w:val="2"/>
          <w:sz w:val="32"/>
          <w:highlight w:val="none"/>
          <w:lang w:eastAsia="zh-CN"/>
        </w:rPr>
        <w:t>。</w:t>
      </w:r>
    </w:p>
    <w:p>
      <w:pPr>
        <w:pStyle w:val="5"/>
        <w:ind w:firstLine="642" w:firstLineChars="200"/>
        <w:rPr>
          <w:rFonts w:ascii="仿宋_GB2312" w:hAnsi="仿宋_GB2312" w:eastAsia="仿宋_GB2312" w:cs="仿宋_GB2312"/>
          <w:kern w:val="2"/>
          <w:sz w:val="32"/>
        </w:rPr>
      </w:pPr>
      <w:r>
        <w:rPr>
          <w:rFonts w:hint="eastAsia" w:ascii="仿宋_GB2312" w:hAnsi="仿宋_GB2312" w:eastAsia="仿宋_GB2312" w:cs="仿宋_GB2312"/>
          <w:b/>
          <w:bCs/>
          <w:kern w:val="2"/>
          <w:sz w:val="32"/>
          <w:highlight w:val="none"/>
          <w:lang w:val="en-US" w:eastAsia="zh-CN"/>
        </w:rPr>
        <w:t>一是</w:t>
      </w:r>
      <w:r>
        <w:rPr>
          <w:rFonts w:hint="eastAsia" w:ascii="仿宋_GB2312" w:hAnsi="仿宋_GB2312" w:eastAsia="仿宋_GB2312" w:cs="仿宋_GB2312"/>
          <w:kern w:val="2"/>
          <w:sz w:val="32"/>
        </w:rPr>
        <w:t>大力推进高标准农田建设和改造提升，</w:t>
      </w:r>
      <w:r>
        <w:rPr>
          <w:rFonts w:hint="eastAsia" w:ascii="仿宋_GB2312" w:hAnsi="仿宋_GB2312" w:eastAsia="仿宋_GB2312" w:cs="仿宋_GB2312"/>
          <w:kern w:val="2"/>
          <w:sz w:val="32"/>
          <w:lang w:val="en-US" w:eastAsia="zh-CN"/>
        </w:rPr>
        <w:t>2023年</w:t>
      </w:r>
      <w:r>
        <w:rPr>
          <w:rFonts w:hint="eastAsia" w:ascii="仿宋_GB2312" w:hAnsi="仿宋_GB2312" w:eastAsia="仿宋_GB2312" w:cs="仿宋_GB2312"/>
          <w:kern w:val="2"/>
          <w:sz w:val="32"/>
        </w:rPr>
        <w:t>新建高标准农田6500亩、改造提升17600亩</w:t>
      </w:r>
      <w:r>
        <w:rPr>
          <w:rFonts w:hint="eastAsia" w:ascii="仿宋_GB2312" w:hAnsi="仿宋_GB2312" w:eastAsia="仿宋_GB2312" w:cs="仿宋_GB2312"/>
          <w:kern w:val="2"/>
          <w:sz w:val="32"/>
          <w:lang w:eastAsia="zh-CN"/>
        </w:rPr>
        <w:t>，完善提升了基础设施条件，促进项目区土地流转，推动农业生产的产业化、机械化、规模化，夯实粮食生产基础</w:t>
      </w:r>
      <w:r>
        <w:rPr>
          <w:rFonts w:hint="eastAsia" w:ascii="仿宋_GB2312" w:hAnsi="仿宋_GB2312" w:eastAsia="仿宋_GB2312" w:cs="仿宋_GB2312"/>
          <w:kern w:val="2"/>
          <w:sz w:val="32"/>
        </w:rPr>
        <w:t>。</w:t>
      </w:r>
      <w:r>
        <w:rPr>
          <w:rFonts w:hint="eastAsia" w:ascii="仿宋_GB2312" w:hAnsi="仿宋_GB2312" w:eastAsia="仿宋_GB2312" w:cs="仿宋_GB2312"/>
          <w:b/>
          <w:bCs/>
          <w:kern w:val="2"/>
          <w:sz w:val="32"/>
          <w:lang w:val="en-US" w:eastAsia="zh-CN"/>
        </w:rPr>
        <w:t>二</w:t>
      </w:r>
      <w:r>
        <w:rPr>
          <w:rFonts w:hint="eastAsia" w:ascii="仿宋_GB2312" w:hAnsi="仿宋_GB2312" w:eastAsia="仿宋_GB2312" w:cs="仿宋_GB2312"/>
          <w:b/>
          <w:bCs/>
          <w:kern w:val="2"/>
          <w:sz w:val="32"/>
        </w:rPr>
        <w:t>是</w:t>
      </w:r>
      <w:r>
        <w:rPr>
          <w:rFonts w:hint="eastAsia" w:ascii="仿宋_GB2312" w:hAnsi="仿宋_GB2312" w:eastAsia="仿宋_GB2312" w:cs="仿宋_GB2312"/>
          <w:kern w:val="2"/>
          <w:sz w:val="32"/>
        </w:rPr>
        <w:t>加快推进农业机械化，通过落实农机购置补贴政策，拓展农机社会化服务，开展农机安全业务培训，提升农机安全管理水平和农机手操作技能，推动全区农业机械化事业高质量发展</w:t>
      </w:r>
      <w:r>
        <w:rPr>
          <w:rFonts w:hint="eastAsia" w:ascii="仿宋_GB2312" w:hAnsi="仿宋_GB2312" w:eastAsia="仿宋_GB2312" w:cs="仿宋_GB2312"/>
          <w:kern w:val="2"/>
          <w:sz w:val="32"/>
          <w:lang w:eastAsia="zh-CN"/>
        </w:rPr>
        <w:t>。</w:t>
      </w:r>
      <w:r>
        <w:rPr>
          <w:rFonts w:hint="eastAsia" w:ascii="仿宋_GB2312" w:hAnsi="仿宋_GB2312" w:eastAsia="仿宋_GB2312" w:cs="仿宋_GB2312"/>
          <w:kern w:val="2"/>
          <w:sz w:val="32"/>
          <w:lang w:val="en-US" w:eastAsia="zh-CN"/>
        </w:rPr>
        <w:t>2023年全区</w:t>
      </w:r>
      <w:r>
        <w:rPr>
          <w:rFonts w:hint="eastAsia" w:ascii="仿宋_GB2312" w:hAnsi="仿宋_GB2312" w:eastAsia="仿宋_GB2312" w:cs="仿宋_GB2312"/>
          <w:kern w:val="2"/>
          <w:sz w:val="32"/>
        </w:rPr>
        <w:t>农机购置补贴</w:t>
      </w:r>
      <w:r>
        <w:rPr>
          <w:rFonts w:hint="eastAsia" w:ascii="仿宋_GB2312" w:hAnsi="仿宋_GB2312" w:eastAsia="仿宋_GB2312" w:cs="仿宋_GB2312"/>
          <w:color w:val="auto"/>
          <w:sz w:val="32"/>
          <w:szCs w:val="32"/>
          <w:highlight w:val="none"/>
          <w:lang w:val="en-US" w:eastAsia="zh-CN"/>
        </w:rPr>
        <w:t>受益农民</w:t>
      </w:r>
      <w:r>
        <w:rPr>
          <w:rFonts w:hint="default" w:ascii="仿宋_GB2312" w:hAnsi="仿宋_GB2312" w:eastAsia="仿宋_GB2312" w:cs="仿宋_GB2312"/>
          <w:color w:val="auto"/>
          <w:sz w:val="32"/>
          <w:szCs w:val="32"/>
          <w:highlight w:val="none"/>
          <w:lang w:val="en-US" w:eastAsia="zh-CN"/>
        </w:rPr>
        <w:t>85</w:t>
      </w:r>
      <w:r>
        <w:rPr>
          <w:rFonts w:hint="eastAsia" w:ascii="仿宋_GB2312" w:hAnsi="仿宋_GB2312" w:eastAsia="仿宋_GB2312" w:cs="仿宋_GB2312"/>
          <w:color w:val="auto"/>
          <w:sz w:val="32"/>
          <w:szCs w:val="32"/>
          <w:highlight w:val="none"/>
          <w:lang w:val="en-US" w:eastAsia="zh-CN"/>
        </w:rPr>
        <w:t>户，新增各类农业机械数量</w:t>
      </w:r>
      <w:r>
        <w:rPr>
          <w:rFonts w:hint="default" w:ascii="仿宋_GB2312" w:hAnsi="仿宋_GB2312" w:eastAsia="仿宋_GB2312" w:cs="仿宋_GB2312"/>
          <w:color w:val="auto"/>
          <w:sz w:val="32"/>
          <w:szCs w:val="32"/>
          <w:highlight w:val="none"/>
          <w:lang w:val="en-US" w:eastAsia="zh-CN"/>
        </w:rPr>
        <w:t>227</w:t>
      </w:r>
      <w:r>
        <w:rPr>
          <w:rFonts w:hint="eastAsia" w:ascii="仿宋_GB2312" w:hAnsi="仿宋_GB2312" w:eastAsia="仿宋_GB2312" w:cs="仿宋_GB2312"/>
          <w:color w:val="auto"/>
          <w:sz w:val="32"/>
          <w:szCs w:val="32"/>
          <w:highlight w:val="none"/>
          <w:lang w:val="en-US" w:eastAsia="zh-CN"/>
        </w:rPr>
        <w:t>台（套），</w:t>
      </w:r>
      <w:r>
        <w:rPr>
          <w:rFonts w:hint="eastAsia" w:ascii="仿宋_GB2312" w:hAnsi="仿宋_GB2312" w:eastAsia="仿宋_GB2312" w:cs="仿宋_GB2312"/>
          <w:kern w:val="2"/>
          <w:sz w:val="32"/>
        </w:rPr>
        <w:t>实现水稻耕种收综合机械化率81.01%，较上年度提升了0.76%</w:t>
      </w:r>
      <w:r>
        <w:rPr>
          <w:rFonts w:hint="eastAsia" w:ascii="仿宋_GB2312" w:hAnsi="仿宋_GB2312" w:eastAsia="仿宋_GB2312" w:cs="仿宋_GB2312"/>
          <w:kern w:val="2"/>
          <w:sz w:val="32"/>
          <w:lang w:eastAsia="zh-CN"/>
        </w:rPr>
        <w:t>，</w:t>
      </w:r>
      <w:r>
        <w:rPr>
          <w:rFonts w:hint="eastAsia" w:ascii="仿宋_GB2312" w:hAnsi="仿宋_GB2312" w:eastAsia="仿宋_GB2312" w:cs="仿宋_GB2312"/>
          <w:kern w:val="2"/>
          <w:sz w:val="32"/>
          <w:lang w:val="en-US" w:eastAsia="zh-CN"/>
        </w:rPr>
        <w:t>并</w:t>
      </w:r>
      <w:r>
        <w:rPr>
          <w:rFonts w:hint="eastAsia" w:ascii="仿宋_GB2312" w:hAnsi="仿宋_GB2312" w:eastAsia="仿宋_GB2312" w:cs="仿宋_GB2312"/>
          <w:b w:val="0"/>
          <w:bCs w:val="0"/>
          <w:color w:val="auto"/>
          <w:sz w:val="32"/>
          <w:szCs w:val="32"/>
          <w:highlight w:val="none"/>
          <w:lang w:val="en-US" w:eastAsia="zh-CN"/>
        </w:rPr>
        <w:t>成功创建韶关市唯一一个2023年广东省水稻机械化种植及机收减损技术示范点</w:t>
      </w:r>
      <w:r>
        <w:rPr>
          <w:rFonts w:hint="eastAsia" w:ascii="仿宋_GB2312" w:eastAsia="仿宋_GB2312"/>
          <w:bCs/>
          <w:sz w:val="32"/>
          <w:szCs w:val="32"/>
          <w:lang w:val="en-US" w:eastAsia="zh-CN"/>
        </w:rPr>
        <w:t>。</w:t>
      </w:r>
      <w:r>
        <w:rPr>
          <w:rFonts w:hint="eastAsia" w:ascii="仿宋_GB2312" w:hAnsi="仿宋_GB2312" w:eastAsia="仿宋_GB2312" w:cs="仿宋_GB2312"/>
          <w:b/>
          <w:bCs/>
          <w:color w:val="auto"/>
          <w:sz w:val="32"/>
          <w:szCs w:val="32"/>
          <w:highlight w:val="none"/>
          <w:shd w:val="clear" w:color="auto" w:fill="FFFFFF"/>
        </w:rPr>
        <w:t>三是</w:t>
      </w:r>
      <w:r>
        <w:rPr>
          <w:rFonts w:hint="eastAsia" w:ascii="仿宋_GB2312" w:hAnsi="仿宋_GB2312" w:eastAsia="仿宋_GB2312" w:cs="仿宋_GB2312"/>
          <w:b w:val="0"/>
          <w:bCs w:val="0"/>
          <w:color w:val="auto"/>
          <w:sz w:val="32"/>
          <w:szCs w:val="32"/>
          <w:highlight w:val="none"/>
          <w:shd w:val="clear" w:color="auto" w:fill="FFFFFF"/>
          <w:lang w:val="en-US" w:eastAsia="zh-CN"/>
        </w:rPr>
        <w:t>积极</w:t>
      </w:r>
      <w:r>
        <w:rPr>
          <w:rFonts w:hint="eastAsia" w:ascii="仿宋_GB2312" w:hAnsi="仿宋_GB2312" w:eastAsia="仿宋_GB2312" w:cs="仿宋_GB2312"/>
          <w:color w:val="auto"/>
          <w:sz w:val="32"/>
          <w:szCs w:val="32"/>
          <w:highlight w:val="none"/>
        </w:rPr>
        <w:t>推广测土配方施肥技术、水稻三控施肥技术、秸秆还田技术、缓释肥施肥技术和无人机精准施肥技术等，推进农药化肥减量增效，</w:t>
      </w:r>
      <w:r>
        <w:rPr>
          <w:rFonts w:hint="eastAsia" w:ascii="仿宋_GB2312" w:hAnsi="仿宋_GB2312" w:eastAsia="仿宋_GB2312" w:cs="仿宋_GB2312"/>
          <w:color w:val="auto"/>
          <w:sz w:val="32"/>
          <w:szCs w:val="32"/>
          <w:highlight w:val="none"/>
          <w:lang w:val="en-US" w:eastAsia="zh-CN"/>
        </w:rPr>
        <w:t>2023年实现</w:t>
      </w:r>
      <w:r>
        <w:rPr>
          <w:rFonts w:hint="eastAsia" w:ascii="仿宋_GB2312" w:hAnsi="仿宋_GB2312" w:eastAsia="仿宋_GB2312" w:cs="仿宋_GB2312"/>
          <w:color w:val="auto"/>
          <w:sz w:val="32"/>
          <w:szCs w:val="32"/>
          <w:highlight w:val="none"/>
        </w:rPr>
        <w:t>氮肥利用率</w:t>
      </w:r>
      <w:r>
        <w:rPr>
          <w:rFonts w:hint="eastAsia" w:ascii="仿宋_GB2312" w:hAnsi="仿宋_GB2312" w:eastAsia="仿宋_GB2312" w:cs="仿宋_GB2312"/>
          <w:color w:val="auto"/>
          <w:sz w:val="32"/>
          <w:szCs w:val="32"/>
          <w:highlight w:val="none"/>
          <w:lang w:val="en-US" w:eastAsia="zh-CN"/>
        </w:rPr>
        <w:t>达到</w:t>
      </w:r>
      <w:r>
        <w:rPr>
          <w:rFonts w:hint="eastAsia" w:ascii="仿宋_GB2312" w:hAnsi="仿宋_GB2312" w:eastAsia="仿宋_GB2312" w:cs="仿宋_GB2312"/>
          <w:color w:val="auto"/>
          <w:sz w:val="32"/>
          <w:szCs w:val="32"/>
          <w:highlight w:val="none"/>
        </w:rPr>
        <w:t>41.29%，主要农作物测土配方施肥技术覆盖率91%以上。</w:t>
      </w:r>
      <w:r>
        <w:rPr>
          <w:rFonts w:hint="eastAsia" w:ascii="仿宋_GB2312" w:hAnsi="仿宋_GB2312" w:eastAsia="仿宋_GB2312" w:cs="仿宋_GB2312"/>
          <w:b/>
          <w:bCs/>
          <w:kern w:val="2"/>
          <w:sz w:val="32"/>
          <w:lang w:val="en-US" w:eastAsia="zh-CN"/>
        </w:rPr>
        <w:t>四</w:t>
      </w:r>
      <w:r>
        <w:rPr>
          <w:rFonts w:hint="eastAsia" w:ascii="仿宋_GB2312" w:hAnsi="仿宋_GB2312" w:eastAsia="仿宋_GB2312" w:cs="仿宋_GB2312"/>
          <w:b/>
          <w:bCs/>
          <w:kern w:val="2"/>
          <w:sz w:val="32"/>
        </w:rPr>
        <w:t>是</w:t>
      </w:r>
      <w:r>
        <w:rPr>
          <w:rFonts w:hint="eastAsia" w:ascii="仿宋_GB2312" w:hAnsi="仿宋_GB2312" w:eastAsia="仿宋_GB2312" w:cs="仿宋_GB2312"/>
          <w:b w:val="0"/>
          <w:bCs w:val="0"/>
          <w:kern w:val="2"/>
          <w:sz w:val="32"/>
          <w:lang w:val="en-US" w:eastAsia="zh-CN"/>
        </w:rPr>
        <w:t>落实植物疫病防控工作，全年</w:t>
      </w:r>
      <w:r>
        <w:rPr>
          <w:rFonts w:hint="eastAsia" w:ascii="仿宋_GB2312" w:hAnsi="仿宋_GB2312" w:eastAsia="仿宋_GB2312" w:cs="仿宋_GB2312"/>
          <w:kern w:val="2"/>
          <w:sz w:val="32"/>
        </w:rPr>
        <w:t>发布农作物病虫预报12期，制作播放病虫电视预报2期，病虫发生防治信息的覆盖面和传播时效</w:t>
      </w:r>
      <w:r>
        <w:rPr>
          <w:rFonts w:hint="eastAsia" w:ascii="仿宋_GB2312" w:hAnsi="仿宋_GB2312" w:eastAsia="仿宋_GB2312" w:cs="仿宋_GB2312"/>
          <w:kern w:val="2"/>
          <w:sz w:val="32"/>
          <w:lang w:val="en-US" w:eastAsia="zh-CN"/>
        </w:rPr>
        <w:t>得到保障</w:t>
      </w:r>
      <w:r>
        <w:rPr>
          <w:rFonts w:hint="eastAsia" w:ascii="仿宋_GB2312" w:hAnsi="仿宋_GB2312" w:eastAsia="仿宋_GB2312" w:cs="仿宋_GB2312"/>
          <w:kern w:val="2"/>
          <w:sz w:val="32"/>
        </w:rPr>
        <w:t>，病虫预报准确率</w:t>
      </w:r>
      <w:r>
        <w:rPr>
          <w:rFonts w:hint="eastAsia" w:ascii="仿宋_GB2312" w:hAnsi="仿宋_GB2312" w:eastAsia="仿宋_GB2312" w:cs="仿宋_GB2312"/>
          <w:kern w:val="2"/>
          <w:sz w:val="32"/>
          <w:lang w:val="en-US" w:eastAsia="zh-CN"/>
        </w:rPr>
        <w:t>达到</w:t>
      </w:r>
      <w:r>
        <w:rPr>
          <w:rFonts w:hint="eastAsia" w:ascii="仿宋_GB2312" w:hAnsi="仿宋_GB2312" w:eastAsia="仿宋_GB2312" w:cs="仿宋_GB2312"/>
          <w:kern w:val="2"/>
          <w:sz w:val="32"/>
        </w:rPr>
        <w:t>96%，提高了农作物病虫害监测预警和防控能力；</w:t>
      </w:r>
      <w:r>
        <w:rPr>
          <w:rFonts w:hint="eastAsia" w:ascii="仿宋_GB2312" w:hAnsi="仿宋_GB2312" w:eastAsia="仿宋_GB2312" w:cs="仿宋_GB2312"/>
          <w:kern w:val="2"/>
          <w:sz w:val="32"/>
          <w:lang w:val="en-US" w:eastAsia="zh-CN"/>
        </w:rPr>
        <w:t>通过</w:t>
      </w:r>
      <w:r>
        <w:rPr>
          <w:rFonts w:hint="eastAsia" w:ascii="仿宋_GB2312" w:hAnsi="仿宋_GB2312" w:eastAsia="仿宋_GB2312" w:cs="仿宋_GB2312"/>
          <w:kern w:val="2"/>
          <w:sz w:val="32"/>
        </w:rPr>
        <w:t>采购</w:t>
      </w:r>
      <w:r>
        <w:rPr>
          <w:rFonts w:hint="eastAsia" w:ascii="仿宋_GB2312" w:hAnsi="仿宋_GB2312" w:eastAsia="仿宋_GB2312" w:cs="仿宋_GB2312"/>
          <w:kern w:val="2"/>
          <w:sz w:val="32"/>
          <w:lang w:val="en-US" w:eastAsia="zh-CN"/>
        </w:rPr>
        <w:t>架设</w:t>
      </w:r>
      <w:r>
        <w:rPr>
          <w:rFonts w:hint="eastAsia" w:ascii="仿宋_GB2312" w:hAnsi="仿宋_GB2312" w:eastAsia="仿宋_GB2312" w:cs="仿宋_GB2312"/>
          <w:kern w:val="2"/>
          <w:sz w:val="32"/>
        </w:rPr>
        <w:t>杀虫灯74套，推广病虫害绿色防控、统防统治技术，将农作物病虫危害总损失控制在5%以下，确保了全区农作物生产安全；开展红火蚁监测与调查，掌握红火蚁发生发展动态，并</w:t>
      </w:r>
      <w:r>
        <w:rPr>
          <w:rFonts w:hint="eastAsia" w:ascii="仿宋_GB2312" w:hAnsi="仿宋_GB2312" w:eastAsia="仿宋_GB2312" w:cs="仿宋_GB2312"/>
          <w:kern w:val="2"/>
          <w:sz w:val="32"/>
          <w:lang w:val="en-US" w:eastAsia="zh-CN"/>
        </w:rPr>
        <w:t>通过</w:t>
      </w:r>
      <w:r>
        <w:rPr>
          <w:rFonts w:hint="eastAsia" w:ascii="仿宋_GB2312" w:hAnsi="仿宋_GB2312" w:eastAsia="仿宋_GB2312" w:cs="仿宋_GB2312"/>
          <w:kern w:val="2"/>
          <w:sz w:val="32"/>
        </w:rPr>
        <w:t>采购</w:t>
      </w:r>
      <w:r>
        <w:rPr>
          <w:rFonts w:hint="eastAsia" w:ascii="仿宋_GB2312" w:hAnsi="仿宋_GB2312" w:eastAsia="仿宋_GB2312" w:cs="仿宋_GB2312"/>
          <w:kern w:val="2"/>
          <w:sz w:val="32"/>
          <w:lang w:val="en-US" w:eastAsia="zh-CN"/>
        </w:rPr>
        <w:t>发放</w:t>
      </w:r>
      <w:r>
        <w:rPr>
          <w:rFonts w:hint="eastAsia" w:ascii="仿宋_GB2312" w:hAnsi="仿宋_GB2312" w:eastAsia="仿宋_GB2312" w:cs="仿宋_GB2312"/>
          <w:kern w:val="2"/>
          <w:sz w:val="32"/>
        </w:rPr>
        <w:t>红火蚁防控药剂，开展红火蚁防控与宣传培训等工作，有效控制红火蚁的扩散和蔓延；应用省级红火蚁云采集云调查功能，对全区9个镇1个街道开展秋季红火蚁统一防控，防治蚁巢数量50000个以上，4级及5级发生水平控制在总发生面积的2%以下，重大植物疫情未蔓延。</w:t>
      </w:r>
      <w:r>
        <w:rPr>
          <w:rFonts w:hint="eastAsia" w:ascii="仿宋_GB2312" w:hAnsi="仿宋_GB2312" w:eastAsia="仿宋_GB2312" w:cs="仿宋_GB2312"/>
          <w:b/>
          <w:bCs/>
          <w:kern w:val="2"/>
          <w:sz w:val="32"/>
          <w:lang w:val="en-US" w:eastAsia="zh-CN"/>
        </w:rPr>
        <w:t>五</w:t>
      </w:r>
      <w:r>
        <w:rPr>
          <w:rFonts w:hint="eastAsia" w:ascii="仿宋_GB2312" w:hAnsi="仿宋_GB2312" w:eastAsia="仿宋_GB2312" w:cs="仿宋_GB2312"/>
          <w:b/>
          <w:bCs/>
          <w:kern w:val="2"/>
          <w:sz w:val="32"/>
        </w:rPr>
        <w:t>是</w:t>
      </w:r>
      <w:r>
        <w:rPr>
          <w:rFonts w:hint="eastAsia" w:ascii="仿宋_GB2312" w:hAnsi="仿宋_GB2312" w:eastAsia="仿宋_GB2312" w:cs="仿宋_GB2312"/>
          <w:kern w:val="2"/>
          <w:sz w:val="32"/>
        </w:rPr>
        <w:t>严格执行耕地保护制度和永久基本农田保护制度，健全区、镇、村三级责任机制，落实耕地“进出平衡”，严守耕地红线。全区永久基本农田保护面积维持在14.233万亩，完成年度耕地保护责任目标</w:t>
      </w:r>
      <w:r>
        <w:rPr>
          <w:rFonts w:hint="eastAsia" w:ascii="仿宋_GB2312" w:eastAsia="仿宋_GB2312"/>
          <w:bCs/>
          <w:sz w:val="32"/>
          <w:szCs w:val="32"/>
          <w:lang w:eastAsia="zh-CN"/>
        </w:rPr>
        <w:t>。</w:t>
      </w:r>
    </w:p>
    <w:p>
      <w:pPr>
        <w:spacing w:line="360" w:lineRule="auto"/>
        <w:ind w:firstLine="642" w:firstLineChars="200"/>
        <w:outlineLvl w:val="1"/>
        <w:rPr>
          <w:rFonts w:hint="eastAsia" w:ascii="楷体" w:hAnsi="楷体" w:eastAsia="楷体" w:cs="楷体"/>
          <w:b/>
          <w:bCs/>
          <w:sz w:val="32"/>
          <w:szCs w:val="32"/>
        </w:rPr>
      </w:pPr>
      <w:bookmarkStart w:id="28" w:name="_Toc9430"/>
      <w:bookmarkStart w:id="29" w:name="_Toc96960263"/>
      <w:r>
        <w:rPr>
          <w:rFonts w:hint="eastAsia" w:ascii="楷体" w:hAnsi="楷体" w:eastAsia="楷体" w:cs="楷体"/>
          <w:b/>
          <w:bCs/>
          <w:sz w:val="32"/>
          <w:szCs w:val="32"/>
        </w:rPr>
        <w:t>（三）</w:t>
      </w:r>
      <w:bookmarkEnd w:id="28"/>
      <w:bookmarkEnd w:id="29"/>
      <w:r>
        <w:rPr>
          <w:rFonts w:hint="eastAsia" w:ascii="楷体" w:hAnsi="楷体" w:eastAsia="楷体" w:cs="楷体"/>
          <w:b/>
          <w:bCs/>
          <w:sz w:val="32"/>
          <w:szCs w:val="32"/>
        </w:rPr>
        <w:t>守住底线全力巩固拓展脱贫攻坚成果</w:t>
      </w:r>
    </w:p>
    <w:p>
      <w:pPr>
        <w:pStyle w:val="15"/>
        <w:keepNext w:val="0"/>
        <w:keepLines w:val="0"/>
        <w:pageBreakBefore w:val="0"/>
        <w:kinsoku/>
        <w:wordWrap/>
        <w:overflowPunct/>
        <w:topLinePunct w:val="0"/>
        <w:autoSpaceDE/>
        <w:autoSpaceDN/>
        <w:bidi w:val="0"/>
        <w:adjustRightInd/>
        <w:spacing w:line="360" w:lineRule="auto"/>
        <w:rPr>
          <w:rFonts w:hint="eastAsia" w:ascii="仿宋_GB2312" w:hAnsi="仿宋_GB2312" w:eastAsia="仿宋_GB2312" w:cs="仿宋_GB2312"/>
          <w:sz w:val="32"/>
          <w:szCs w:val="32"/>
          <w:highlight w:val="none"/>
          <w:lang w:val="en-US" w:eastAsia="zh-CN"/>
        </w:rPr>
      </w:pPr>
      <w:r>
        <w:rPr>
          <w:rFonts w:hint="eastAsia" w:ascii="仿宋_GB2312" w:eastAsia="仿宋_GB2312"/>
          <w:bCs/>
          <w:sz w:val="32"/>
          <w:szCs w:val="32"/>
          <w:lang w:val="en-US" w:eastAsia="zh-CN"/>
        </w:rPr>
        <w:t>曲江区围绕巩固拓展脱贫攻坚成果同乡村振兴有效衔接的目标，坚决守住防止规模性返贫底线，让脱贫基础更加稳固、成效更可持续。</w:t>
      </w:r>
      <w:r>
        <w:rPr>
          <w:rFonts w:hint="eastAsia" w:ascii="仿宋_GB2312" w:hAnsi="仿宋_GB2312" w:eastAsia="仿宋_GB2312" w:cs="仿宋_GB2312"/>
          <w:b/>
          <w:bCs/>
          <w:color w:val="auto"/>
          <w:sz w:val="32"/>
          <w:szCs w:val="32"/>
          <w:highlight w:val="none"/>
          <w:lang w:eastAsia="zh-CN"/>
        </w:rPr>
        <w:t>一是</w:t>
      </w:r>
      <w:r>
        <w:rPr>
          <w:rFonts w:hint="eastAsia" w:ascii="仿宋_GB2312" w:hAnsi="仿宋_GB2312" w:eastAsia="仿宋_GB2312" w:cs="仿宋_GB2312"/>
          <w:color w:val="auto"/>
          <w:sz w:val="32"/>
          <w:szCs w:val="32"/>
          <w:highlight w:val="none"/>
        </w:rPr>
        <w:t>加强对低收入人口常态化监测和帮扶，全区防止返贫监测对象13户46人，经过帮扶</w:t>
      </w:r>
      <w:r>
        <w:rPr>
          <w:rFonts w:hint="eastAsia" w:ascii="仿宋_GB2312" w:hAnsi="仿宋_GB2312" w:eastAsia="仿宋_GB2312" w:cs="仿宋_GB2312"/>
          <w:color w:val="auto"/>
          <w:sz w:val="32"/>
          <w:szCs w:val="32"/>
          <w:highlight w:val="none"/>
          <w:lang w:val="en-US" w:eastAsia="zh-CN"/>
        </w:rPr>
        <w:t>2023年度</w:t>
      </w:r>
      <w:r>
        <w:rPr>
          <w:rFonts w:hint="eastAsia" w:ascii="仿宋_GB2312" w:hAnsi="仿宋_GB2312" w:eastAsia="仿宋_GB2312" w:cs="仿宋_GB2312"/>
          <w:color w:val="auto"/>
          <w:sz w:val="32"/>
          <w:szCs w:val="32"/>
          <w:highlight w:val="none"/>
        </w:rPr>
        <w:t>风险消除退出12户44人，</w:t>
      </w:r>
      <w:r>
        <w:rPr>
          <w:rFonts w:hint="eastAsia" w:ascii="仿宋_GB2312" w:hAnsi="仿宋_GB2312" w:eastAsia="仿宋_GB2312" w:cs="仿宋_GB2312"/>
          <w:color w:val="auto"/>
          <w:sz w:val="32"/>
          <w:szCs w:val="32"/>
          <w:highlight w:val="none"/>
          <w:lang w:val="en-US" w:eastAsia="zh-CN"/>
        </w:rPr>
        <w:t>剩余</w:t>
      </w:r>
      <w:r>
        <w:rPr>
          <w:rFonts w:hint="eastAsia" w:ascii="仿宋_GB2312" w:hAnsi="仿宋_GB2312" w:eastAsia="仿宋_GB2312" w:cs="仿宋_GB2312"/>
          <w:color w:val="auto"/>
          <w:sz w:val="32"/>
          <w:szCs w:val="32"/>
          <w:highlight w:val="none"/>
        </w:rPr>
        <w:t>监测户1户2人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bCs/>
          <w:color w:val="auto"/>
          <w:sz w:val="32"/>
          <w:szCs w:val="32"/>
          <w:highlight w:val="none"/>
          <w:lang w:eastAsia="zh-CN"/>
        </w:rPr>
        <w:t>二是</w:t>
      </w:r>
      <w:r>
        <w:rPr>
          <w:rFonts w:hint="eastAsia" w:ascii="仿宋_GB2312" w:hAnsi="仿宋_GB2312" w:eastAsia="仿宋_GB2312" w:cs="仿宋_GB2312"/>
          <w:color w:val="auto"/>
          <w:sz w:val="32"/>
          <w:szCs w:val="32"/>
          <w:highlight w:val="none"/>
          <w:lang w:val="en-US" w:eastAsia="zh-CN"/>
        </w:rPr>
        <w:t>大力发展镇村经济，2023年</w:t>
      </w:r>
      <w:r>
        <w:rPr>
          <w:rFonts w:hint="eastAsia" w:ascii="仿宋_GB2312" w:hAnsi="仿宋_GB2312" w:eastAsia="仿宋_GB2312" w:cs="仿宋_GB2312"/>
          <w:b w:val="0"/>
          <w:bCs/>
          <w:color w:val="auto"/>
          <w:sz w:val="32"/>
          <w:szCs w:val="32"/>
          <w:highlight w:val="none"/>
          <w:lang w:val="en-US" w:eastAsia="zh-CN"/>
        </w:rPr>
        <w:t>全区10家镇街强镇富村公司营业收入达</w:t>
      </w:r>
      <w:r>
        <w:rPr>
          <w:rFonts w:hint="eastAsia" w:ascii="仿宋_GB2312" w:hAnsi="仿宋_GB2312" w:eastAsia="仿宋_GB2312" w:cs="仿宋_GB2312"/>
          <w:bCs/>
          <w:color w:val="auto"/>
          <w:sz w:val="32"/>
          <w:szCs w:val="32"/>
          <w:highlight w:val="none"/>
          <w:lang w:val="en-US" w:eastAsia="zh-CN"/>
        </w:rPr>
        <w:t>8,416.84</w:t>
      </w:r>
      <w:r>
        <w:rPr>
          <w:rFonts w:hint="eastAsia" w:ascii="仿宋_GB2312" w:hAnsi="仿宋_GB2312" w:eastAsia="仿宋_GB2312" w:cs="仿宋_GB2312"/>
          <w:bCs/>
          <w:color w:val="auto"/>
          <w:sz w:val="32"/>
          <w:szCs w:val="32"/>
          <w:highlight w:val="none"/>
        </w:rPr>
        <w:t>万元，</w:t>
      </w:r>
      <w:r>
        <w:rPr>
          <w:rFonts w:hint="eastAsia" w:ascii="仿宋_GB2312" w:hAnsi="仿宋_GB2312" w:eastAsia="仿宋_GB2312" w:cs="仿宋_GB2312"/>
          <w:bCs/>
          <w:color w:val="auto"/>
          <w:sz w:val="32"/>
          <w:szCs w:val="32"/>
          <w:highlight w:val="none"/>
          <w:lang w:val="en-US" w:eastAsia="zh-CN"/>
        </w:rPr>
        <w:t>共</w:t>
      </w:r>
      <w:r>
        <w:rPr>
          <w:rFonts w:hint="eastAsia" w:ascii="仿宋_GB2312" w:hAnsi="仿宋_GB2312" w:eastAsia="仿宋_GB2312" w:cs="仿宋_GB2312"/>
          <w:bCs/>
          <w:color w:val="auto"/>
          <w:sz w:val="32"/>
          <w:szCs w:val="32"/>
          <w:highlight w:val="none"/>
          <w:lang w:eastAsia="zh-CN"/>
        </w:rPr>
        <w:t>建设了</w:t>
      </w:r>
      <w:r>
        <w:rPr>
          <w:rFonts w:hint="eastAsia" w:ascii="仿宋_GB2312" w:hAnsi="仿宋_GB2312" w:eastAsia="仿宋_GB2312" w:cs="仿宋_GB2312"/>
          <w:bCs/>
          <w:color w:val="auto"/>
          <w:sz w:val="32"/>
          <w:szCs w:val="32"/>
          <w:highlight w:val="none"/>
        </w:rPr>
        <w:t>1</w:t>
      </w:r>
      <w:r>
        <w:rPr>
          <w:rFonts w:hint="eastAsia" w:ascii="仿宋_GB2312" w:hAnsi="仿宋_GB2312" w:eastAsia="仿宋_GB2312" w:cs="仿宋_GB2312"/>
          <w:bCs/>
          <w:color w:val="auto"/>
          <w:sz w:val="32"/>
          <w:szCs w:val="32"/>
          <w:highlight w:val="none"/>
          <w:lang w:val="en-US" w:eastAsia="zh-CN"/>
        </w:rPr>
        <w:t>9</w:t>
      </w:r>
      <w:r>
        <w:rPr>
          <w:rFonts w:hint="eastAsia" w:ascii="仿宋_GB2312" w:hAnsi="仿宋_GB2312" w:eastAsia="仿宋_GB2312" w:cs="仿宋_GB2312"/>
          <w:bCs/>
          <w:color w:val="auto"/>
          <w:sz w:val="32"/>
          <w:szCs w:val="32"/>
          <w:highlight w:val="none"/>
        </w:rPr>
        <w:t>个乡村振兴车间，</w:t>
      </w:r>
      <w:r>
        <w:rPr>
          <w:rFonts w:hint="eastAsia" w:ascii="仿宋_GB2312" w:hAnsi="仿宋_GB2312" w:eastAsia="仿宋_GB2312" w:cs="仿宋_GB2312"/>
          <w:bCs/>
          <w:color w:val="auto"/>
          <w:sz w:val="32"/>
          <w:szCs w:val="32"/>
          <w:highlight w:val="none"/>
          <w:lang w:val="en-US" w:eastAsia="zh-CN"/>
        </w:rPr>
        <w:t>对全区</w:t>
      </w:r>
      <w:r>
        <w:rPr>
          <w:rFonts w:hint="eastAsia" w:ascii="仿宋_GB2312" w:hAnsi="仿宋_GB2312" w:eastAsia="仿宋_GB2312" w:cs="仿宋_GB2312"/>
          <w:bCs/>
          <w:color w:val="auto"/>
          <w:sz w:val="32"/>
          <w:szCs w:val="32"/>
          <w:highlight w:val="none"/>
        </w:rPr>
        <w:t>9个乡镇</w:t>
      </w:r>
      <w:r>
        <w:rPr>
          <w:rFonts w:hint="eastAsia" w:ascii="仿宋_GB2312" w:hAnsi="仿宋_GB2312" w:eastAsia="仿宋_GB2312" w:cs="仿宋_GB2312"/>
          <w:bCs/>
          <w:color w:val="auto"/>
          <w:sz w:val="32"/>
          <w:szCs w:val="32"/>
          <w:highlight w:val="none"/>
          <w:lang w:val="en-US" w:eastAsia="zh-CN"/>
        </w:rPr>
        <w:t>实现</w:t>
      </w:r>
      <w:r>
        <w:rPr>
          <w:rFonts w:hint="eastAsia" w:ascii="仿宋_GB2312" w:hAnsi="仿宋_GB2312" w:eastAsia="仿宋_GB2312" w:cs="仿宋_GB2312"/>
          <w:bCs/>
          <w:color w:val="auto"/>
          <w:sz w:val="32"/>
          <w:szCs w:val="32"/>
          <w:highlight w:val="none"/>
        </w:rPr>
        <w:t>全覆盖，</w:t>
      </w:r>
      <w:r>
        <w:rPr>
          <w:rFonts w:hint="eastAsia" w:ascii="仿宋_GB2312" w:hAnsi="仿宋_GB2312" w:eastAsia="仿宋_GB2312" w:cs="仿宋_GB2312"/>
          <w:bCs/>
          <w:color w:val="auto"/>
          <w:sz w:val="32"/>
          <w:szCs w:val="32"/>
          <w:highlight w:val="none"/>
          <w:lang w:eastAsia="zh-CN"/>
        </w:rPr>
        <w:t>解决</w:t>
      </w:r>
      <w:r>
        <w:rPr>
          <w:rFonts w:hint="eastAsia" w:ascii="仿宋_GB2312" w:hAnsi="仿宋_GB2312" w:eastAsia="仿宋_GB2312" w:cs="仿宋_GB2312"/>
          <w:bCs/>
          <w:color w:val="auto"/>
          <w:sz w:val="32"/>
          <w:szCs w:val="32"/>
          <w:highlight w:val="none"/>
          <w:lang w:val="en-US" w:eastAsia="zh-CN"/>
        </w:rPr>
        <w:t>1015</w:t>
      </w:r>
      <w:r>
        <w:rPr>
          <w:rFonts w:hint="eastAsia" w:ascii="仿宋_GB2312" w:hAnsi="仿宋_GB2312" w:eastAsia="仿宋_GB2312" w:cs="仿宋_GB2312"/>
          <w:bCs/>
          <w:color w:val="auto"/>
          <w:sz w:val="32"/>
          <w:szCs w:val="32"/>
          <w:highlight w:val="none"/>
        </w:rPr>
        <w:t>人在家就近就业，其中脱贫群众</w:t>
      </w:r>
      <w:r>
        <w:rPr>
          <w:rFonts w:hint="eastAsia" w:ascii="仿宋_GB2312" w:hAnsi="仿宋_GB2312" w:eastAsia="仿宋_GB2312" w:cs="仿宋_GB2312"/>
          <w:bCs/>
          <w:color w:val="auto"/>
          <w:sz w:val="32"/>
          <w:szCs w:val="32"/>
          <w:highlight w:val="none"/>
          <w:lang w:val="en-US" w:eastAsia="zh-CN"/>
        </w:rPr>
        <w:t>28</w:t>
      </w:r>
      <w:r>
        <w:rPr>
          <w:rFonts w:hint="eastAsia" w:ascii="仿宋_GB2312" w:hAnsi="仿宋_GB2312" w:eastAsia="仿宋_GB2312" w:cs="仿宋_GB2312"/>
          <w:bCs/>
          <w:color w:val="auto"/>
          <w:sz w:val="32"/>
          <w:szCs w:val="32"/>
          <w:highlight w:val="none"/>
        </w:rPr>
        <w:t>人。</w:t>
      </w:r>
      <w:r>
        <w:rPr>
          <w:rFonts w:hint="eastAsia" w:ascii="仿宋_GB2312" w:hAnsi="仿宋_GB2312" w:eastAsia="仿宋_GB2312" w:cs="仿宋_GB2312"/>
          <w:bCs/>
          <w:color w:val="auto"/>
          <w:sz w:val="32"/>
          <w:szCs w:val="32"/>
          <w:highlight w:val="none"/>
          <w:lang w:val="en-US" w:eastAsia="zh-CN"/>
        </w:rPr>
        <w:t>2023年</w:t>
      </w:r>
      <w:r>
        <w:rPr>
          <w:rFonts w:hint="eastAsia" w:ascii="仿宋_GB2312" w:hAnsi="仿宋_GB2312" w:eastAsia="仿宋_GB2312" w:cs="仿宋_GB2312"/>
          <w:b w:val="0"/>
          <w:bCs w:val="0"/>
          <w:color w:val="auto"/>
          <w:kern w:val="2"/>
          <w:sz w:val="32"/>
          <w:szCs w:val="32"/>
          <w:highlight w:val="none"/>
          <w:lang w:val="en-US" w:eastAsia="zh-CN" w:bidi="ar"/>
        </w:rPr>
        <w:t>全区脱贫有劳力人均可支配收入</w:t>
      </w:r>
      <w:r>
        <w:rPr>
          <w:rFonts w:hint="eastAsia" w:ascii="仿宋_GB2312" w:hAnsi="仿宋_GB2312" w:eastAsia="仿宋_GB2312" w:cs="仿宋_GB2312"/>
          <w:color w:val="auto"/>
          <w:sz w:val="32"/>
          <w:szCs w:val="32"/>
          <w:highlight w:val="none"/>
          <w:lang w:val="en-US" w:eastAsia="zh-CN"/>
        </w:rPr>
        <w:t>25,219.36</w:t>
      </w:r>
      <w:r>
        <w:rPr>
          <w:rFonts w:hint="eastAsia" w:ascii="仿宋_GB2312" w:hAnsi="仿宋_GB2312" w:eastAsia="仿宋_GB2312" w:cs="仿宋_GB2312"/>
          <w:b w:val="0"/>
          <w:bCs w:val="0"/>
          <w:color w:val="auto"/>
          <w:kern w:val="2"/>
          <w:sz w:val="32"/>
          <w:szCs w:val="32"/>
          <w:highlight w:val="none"/>
          <w:lang w:val="en-US" w:eastAsia="zh-CN" w:bidi="ar"/>
        </w:rPr>
        <w:t>元，同比增长6.56%，全年未发生规模性返贫。</w:t>
      </w:r>
      <w:r>
        <w:rPr>
          <w:rFonts w:hint="eastAsia" w:ascii="仿宋_GB2312" w:hAnsi="仿宋_GB2312" w:eastAsia="仿宋_GB2312" w:cs="仿宋_GB2312"/>
          <w:b/>
          <w:bCs/>
          <w:color w:val="auto"/>
          <w:sz w:val="32"/>
          <w:szCs w:val="32"/>
          <w:highlight w:val="none"/>
          <w:lang w:eastAsia="zh-CN"/>
        </w:rPr>
        <w:t>三</w:t>
      </w:r>
      <w:r>
        <w:rPr>
          <w:rFonts w:hint="eastAsia" w:ascii="仿宋_GB2312" w:hAnsi="仿宋_GB2312" w:eastAsia="仿宋_GB2312" w:cs="仿宋_GB2312"/>
          <w:b/>
          <w:bCs/>
          <w:color w:val="auto"/>
          <w:sz w:val="32"/>
          <w:szCs w:val="32"/>
          <w:highlight w:val="none"/>
        </w:rPr>
        <w:t>是</w:t>
      </w:r>
      <w:r>
        <w:rPr>
          <w:rFonts w:hint="eastAsia" w:ascii="仿宋_GB2312" w:hAnsi="仿宋_GB2312" w:eastAsia="仿宋_GB2312" w:cs="仿宋_GB2312"/>
          <w:color w:val="auto"/>
          <w:sz w:val="32"/>
          <w:szCs w:val="32"/>
          <w:highlight w:val="none"/>
          <w:lang w:val="en-US" w:eastAsia="zh-CN"/>
        </w:rPr>
        <w:t>组织</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630</w:t>
      </w:r>
      <w:r>
        <w:rPr>
          <w:rFonts w:hint="eastAsia" w:ascii="仿宋_GB2312" w:hAnsi="仿宋_GB2312" w:eastAsia="仿宋_GB2312" w:cs="仿宋_GB2312"/>
          <w:color w:val="auto"/>
          <w:sz w:val="32"/>
          <w:szCs w:val="32"/>
          <w:highlight w:val="none"/>
        </w:rPr>
        <w:t>”广东扶贫济困日活动，动员广大干部职工、社会热心人士开展募捐活动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2023年</w:t>
      </w:r>
      <w:r>
        <w:rPr>
          <w:rFonts w:hint="eastAsia" w:ascii="仿宋_GB2312" w:hAnsi="仿宋_GB2312" w:eastAsia="仿宋_GB2312" w:cs="仿宋_GB2312"/>
          <w:b w:val="0"/>
          <w:bCs w:val="0"/>
          <w:color w:val="auto"/>
          <w:sz w:val="32"/>
          <w:szCs w:val="32"/>
          <w:highlight w:val="none"/>
          <w:lang w:val="en-US" w:eastAsia="zh-CN"/>
        </w:rPr>
        <w:t>206家民营企业参与</w:t>
      </w:r>
      <w:r>
        <w:rPr>
          <w:rFonts w:hint="eastAsia" w:ascii="仿宋_GB2312" w:hAnsi="仿宋_GB2312" w:eastAsia="仿宋_GB2312" w:cs="仿宋_GB2312"/>
          <w:b w:val="0"/>
          <w:bCs w:val="0"/>
          <w:color w:val="auto"/>
          <w:spacing w:val="0"/>
          <w:kern w:val="0"/>
          <w:sz w:val="32"/>
          <w:szCs w:val="32"/>
          <w:highlight w:val="none"/>
          <w:lang w:val="en-US" w:eastAsia="zh-CN"/>
        </w:rPr>
        <w:t>“千企帮千镇 万企兴万村”行动，</w:t>
      </w:r>
      <w:r>
        <w:rPr>
          <w:rFonts w:hint="eastAsia" w:ascii="仿宋_GB2312" w:hAnsi="仿宋_GB2312" w:eastAsia="仿宋_GB2312" w:cs="仿宋_GB2312"/>
          <w:b w:val="0"/>
          <w:bCs w:val="0"/>
          <w:color w:val="auto"/>
          <w:sz w:val="32"/>
          <w:szCs w:val="32"/>
          <w:highlight w:val="none"/>
          <w:lang w:val="en-US" w:eastAsia="zh-CN"/>
        </w:rPr>
        <w:t>在“6.30”助力乡村振兴活动中捐款413.1万元</w:t>
      </w:r>
      <w:r>
        <w:rPr>
          <w:rFonts w:hint="eastAsia" w:ascii="仿宋_GB2312" w:hAnsi="仿宋_GB2312" w:eastAsia="仿宋_GB2312" w:cs="仿宋_GB2312"/>
          <w:color w:val="auto"/>
          <w:sz w:val="32"/>
          <w:szCs w:val="32"/>
          <w:highlight w:val="none"/>
          <w:lang w:eastAsia="zh-CN"/>
        </w:rPr>
        <w:t>，为巩固拓展脱贫攻坚成果、全面推进乡村振兴奉献爱心、贡献力量。</w:t>
      </w:r>
      <w:r>
        <w:rPr>
          <w:rFonts w:hint="eastAsia" w:ascii="仿宋_GB2312" w:hAnsi="仿宋_GB2312" w:eastAsia="仿宋_GB2312" w:cs="仿宋_GB2312"/>
          <w:b/>
          <w:bCs/>
          <w:color w:val="auto"/>
          <w:sz w:val="32"/>
          <w:szCs w:val="32"/>
          <w:highlight w:val="none"/>
          <w:lang w:val="en-US" w:eastAsia="zh-CN"/>
        </w:rPr>
        <w:t>四是</w:t>
      </w:r>
      <w:r>
        <w:rPr>
          <w:rFonts w:hint="eastAsia" w:ascii="仿宋_GB2312" w:hAnsi="仿宋_GB2312" w:eastAsia="仿宋_GB2312" w:cs="仿宋_GB2312"/>
          <w:color w:val="auto"/>
          <w:sz w:val="32"/>
          <w:szCs w:val="32"/>
          <w:highlight w:val="none"/>
          <w:lang w:val="en-US" w:eastAsia="zh-CN"/>
        </w:rPr>
        <w:t>构建未贫先防的保障机制，在为脱贫户和监测对象购买防返贫综合保险的基础上，建立防止返贫专项资金库，根据需求给予脱贫户和监测对象发展生产补助、困难家庭资助、大病救助、住房维修或建设补助。</w:t>
      </w:r>
    </w:p>
    <w:p>
      <w:pPr>
        <w:spacing w:line="360" w:lineRule="auto"/>
        <w:ind w:firstLine="642" w:firstLineChars="200"/>
        <w:outlineLvl w:val="1"/>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（四）构建现代乡村产业体系，提升乡村产业发展水平</w:t>
      </w:r>
    </w:p>
    <w:p>
      <w:pPr>
        <w:pStyle w:val="15"/>
        <w:keepNext w:val="0"/>
        <w:keepLines w:val="0"/>
        <w:pageBreakBefore w:val="0"/>
        <w:kinsoku/>
        <w:wordWrap/>
        <w:overflowPunct/>
        <w:topLinePunct w:val="0"/>
        <w:autoSpaceDE/>
        <w:autoSpaceDN/>
        <w:bidi w:val="0"/>
        <w:adjustRightInd/>
        <w:spacing w:line="360" w:lineRule="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曲江区全力发展农业优势产业，构建现代乡村产业体系，通过联农带农富农利益联结机制，提升农民群众增收致富能力，壮大村集体经济，夯实乡村振兴基础。</w:t>
      </w:r>
    </w:p>
    <w:p>
      <w:pPr>
        <w:pStyle w:val="15"/>
        <w:keepNext w:val="0"/>
        <w:keepLines w:val="0"/>
        <w:pageBreakBefore w:val="0"/>
        <w:kinsoku/>
        <w:wordWrap/>
        <w:overflowPunct/>
        <w:topLinePunct w:val="0"/>
        <w:autoSpaceDE/>
        <w:autoSpaceDN/>
        <w:bidi w:val="0"/>
        <w:adjustRightInd/>
        <w:spacing w:line="360" w:lineRule="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一是</w:t>
      </w:r>
      <w:r>
        <w:rPr>
          <w:rFonts w:hint="eastAsia" w:ascii="仿宋_GB2312" w:hAnsi="仿宋_GB2312" w:eastAsia="仿宋_GB2312" w:cs="仿宋_GB2312"/>
          <w:sz w:val="32"/>
          <w:szCs w:val="32"/>
          <w:highlight w:val="none"/>
          <w:lang w:val="en-US" w:eastAsia="zh-CN"/>
        </w:rPr>
        <w:t>自2021年食用菌省级现代农业产业园成功通过省级验收以来，曲江区已成功打造集生产、加工、物流、营销、研发、休闲于一体的食用菌现代农业产业集群，成为全省食用菌种植规模及产量最大的县区。通过建立“龙头企业+强镇富村公司＋村集体+农户”等形式建立“利益共享、风险共担”的利益联结体，切实降低农户种植成本，保障种植收益，提升农民群众增收致富能力。2023年曲江区新增50个食用菌壮大村集体经济与产业发展试点村，建设食用菌基地，预计可使每村增收12万元。2023年曲江区食用菌和预制菜两个省级现代农业产业园更是实现了产业联动，依托辖区优质菌蔬的生产和加工优势，把菌膳类产品作为曲江预制菜未来的主要发展方向，打造以菌蔬类为主兼具粤北特色的预制菜产业聚集区，进一步推动了农业优势产业的高质量发展。</w:t>
      </w:r>
    </w:p>
    <w:p>
      <w:pPr>
        <w:pStyle w:val="15"/>
        <w:keepNext w:val="0"/>
        <w:keepLines w:val="0"/>
        <w:pageBreakBefore w:val="0"/>
        <w:kinsoku/>
        <w:wordWrap/>
        <w:overflowPunct/>
        <w:topLinePunct w:val="0"/>
        <w:autoSpaceDE/>
        <w:autoSpaceDN/>
        <w:bidi w:val="0"/>
        <w:adjustRightInd/>
        <w:spacing w:line="360" w:lineRule="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二是</w:t>
      </w:r>
      <w:r>
        <w:rPr>
          <w:rFonts w:hint="eastAsia" w:ascii="仿宋_GB2312" w:hAnsi="仿宋_GB2312" w:eastAsia="仿宋_GB2312" w:cs="仿宋_GB2312"/>
          <w:b w:val="0"/>
          <w:bCs w:val="0"/>
          <w:sz w:val="32"/>
          <w:szCs w:val="32"/>
          <w:highlight w:val="none"/>
          <w:lang w:val="en-US" w:eastAsia="zh-CN"/>
        </w:rPr>
        <w:t>2023年曲江区推进农村集体产权制度改革，加强农村集体“三资”管理，全面整顿农村集体合同问题，推进农村组级集体经济组织公账开户，核实农村集体资产。目前全区有1188个组级集体经济组织，建立组级公账1133套，实现组账监管资金1.36亿元；同时指导各镇使用规范合同版本签订土地经营权流转合同，全年完成土地流转面积15526亩，超额完成市级下达的任务。</w:t>
      </w:r>
    </w:p>
    <w:p>
      <w:pPr>
        <w:pStyle w:val="15"/>
        <w:keepNext w:val="0"/>
        <w:keepLines w:val="0"/>
        <w:pageBreakBefore w:val="0"/>
        <w:kinsoku/>
        <w:wordWrap/>
        <w:overflowPunct/>
        <w:topLinePunct w:val="0"/>
        <w:autoSpaceDE/>
        <w:autoSpaceDN/>
        <w:bidi w:val="0"/>
        <w:adjustRightInd/>
        <w:spacing w:line="360" w:lineRule="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highlight w:val="none"/>
          <w:lang w:val="en-US" w:eastAsia="zh-CN"/>
        </w:rPr>
        <w:t>三是</w:t>
      </w:r>
      <w:r>
        <w:rPr>
          <w:rFonts w:hint="eastAsia" w:ascii="仿宋_GB2312" w:hAnsi="仿宋_GB2312" w:eastAsia="仿宋_GB2312" w:cs="仿宋_GB2312"/>
          <w:b w:val="0"/>
          <w:bCs w:val="0"/>
          <w:sz w:val="32"/>
          <w:szCs w:val="32"/>
          <w:highlight w:val="none"/>
          <w:lang w:val="en-US" w:eastAsia="zh-CN"/>
        </w:rPr>
        <w:t>加强新型农业经营主体培育，</w:t>
      </w:r>
      <w:r>
        <w:rPr>
          <w:rFonts w:hint="eastAsia" w:ascii="仿宋_GB2312" w:hAnsi="仿宋_GB2312" w:eastAsia="仿宋_GB2312" w:cs="仿宋_GB2312"/>
          <w:sz w:val="32"/>
          <w:szCs w:val="32"/>
          <w:highlight w:val="none"/>
          <w:lang w:eastAsia="zh-CN"/>
        </w:rPr>
        <w:t>2023年成功创建1家国家级畜禽标准化示范场（韶关金新农畜牧养殖有限公司），新增4家省级标准化示范场，创建累计数居全市第一；成功创建2023年省级家庭农场示范县，曲江区大塘镇塘园家庭农场被评为2023年省级示范家庭农场；连续两年上榜农业农村部农情基点县工作优秀名单，</w:t>
      </w:r>
      <w:r>
        <w:rPr>
          <w:rFonts w:hint="eastAsia" w:ascii="仿宋_GB2312" w:hAnsi="仿宋_GB2312" w:eastAsia="仿宋_GB2312" w:cs="仿宋_GB2312"/>
          <w:sz w:val="32"/>
          <w:szCs w:val="32"/>
          <w:highlight w:val="none"/>
          <w:lang w:val="en-US" w:eastAsia="zh-CN"/>
        </w:rPr>
        <w:t>为2023年全省唯一上榜</w:t>
      </w:r>
      <w:r>
        <w:rPr>
          <w:rFonts w:hint="eastAsia" w:ascii="仿宋_GB2312" w:hAnsi="仿宋_GB2312" w:eastAsia="仿宋_GB2312" w:cs="仿宋_GB2312"/>
          <w:sz w:val="32"/>
          <w:szCs w:val="32"/>
          <w:highlight w:val="none"/>
          <w:lang w:eastAsia="zh-CN"/>
        </w:rPr>
        <w:t>。</w:t>
      </w:r>
    </w:p>
    <w:p>
      <w:pPr>
        <w:spacing w:line="360" w:lineRule="auto"/>
        <w:ind w:firstLine="642" w:firstLineChars="200"/>
        <w:outlineLvl w:val="1"/>
        <w:rPr>
          <w:rFonts w:hint="eastAsia" w:ascii="楷体" w:hAnsi="楷体" w:eastAsia="楷体" w:cs="楷体"/>
          <w:b/>
          <w:bCs/>
          <w:sz w:val="32"/>
          <w:szCs w:val="32"/>
          <w:lang w:eastAsia="zh-CN"/>
        </w:rPr>
      </w:pPr>
      <w:bookmarkStart w:id="30" w:name="_Toc8861"/>
      <w:bookmarkStart w:id="31" w:name="_Toc96960265"/>
      <w:r>
        <w:rPr>
          <w:rFonts w:hint="eastAsia" w:ascii="楷体" w:hAnsi="楷体" w:eastAsia="楷体" w:cs="楷体"/>
          <w:b/>
          <w:bCs/>
          <w:sz w:val="32"/>
          <w:szCs w:val="32"/>
        </w:rPr>
        <w:t>（五）</w:t>
      </w:r>
      <w:bookmarkEnd w:id="30"/>
      <w:bookmarkEnd w:id="31"/>
      <w:r>
        <w:rPr>
          <w:rFonts w:hint="eastAsia" w:ascii="楷体" w:hAnsi="楷体" w:eastAsia="楷体" w:cs="楷体"/>
          <w:b/>
          <w:bCs/>
          <w:sz w:val="32"/>
          <w:szCs w:val="32"/>
          <w:lang w:val="en-US" w:eastAsia="zh-CN"/>
        </w:rPr>
        <w:t>推进</w:t>
      </w:r>
      <w:r>
        <w:rPr>
          <w:rFonts w:hint="eastAsia" w:ascii="楷体" w:hAnsi="楷体" w:eastAsia="楷体" w:cs="楷体"/>
          <w:b/>
          <w:bCs/>
          <w:sz w:val="32"/>
          <w:szCs w:val="32"/>
        </w:rPr>
        <w:t>“四好农村路”建设和管护</w:t>
      </w:r>
      <w:r>
        <w:rPr>
          <w:rFonts w:hint="eastAsia" w:ascii="楷体" w:hAnsi="楷体" w:eastAsia="楷体" w:cs="楷体"/>
          <w:b/>
          <w:bCs/>
          <w:sz w:val="32"/>
          <w:szCs w:val="32"/>
          <w:lang w:eastAsia="zh-CN"/>
        </w:rPr>
        <w:t>，助力农村经济全面发展</w:t>
      </w:r>
    </w:p>
    <w:bookmarkEnd w:id="26"/>
    <w:bookmarkEnd w:id="27"/>
    <w:p>
      <w:pPr>
        <w:pStyle w:val="18"/>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640" w:firstLineChars="200"/>
        <w:textAlignment w:val="auto"/>
        <w:rPr>
          <w:rFonts w:hint="default" w:ascii="仿宋_GB2312" w:hAnsi="仿宋_GB2312" w:eastAsia="仿宋_GB2312" w:cs="仿宋_GB2312"/>
          <w:b w:val="0"/>
          <w:bCs w:val="0"/>
          <w:kern w:val="2"/>
          <w:sz w:val="32"/>
          <w:highlight w:val="none"/>
          <w:lang w:val="en-US" w:eastAsia="zh-CN"/>
        </w:rPr>
      </w:pPr>
      <w:bookmarkStart w:id="32" w:name="_Toc12520"/>
      <w:bookmarkStart w:id="33" w:name="_Toc18244"/>
      <w:bookmarkStart w:id="34" w:name="_Toc13341"/>
      <w:r>
        <w:rPr>
          <w:rFonts w:hint="eastAsia" w:ascii="仿宋_GB2312" w:hAnsi="仿宋_GB2312" w:eastAsia="仿宋_GB2312" w:cs="仿宋_GB2312"/>
          <w:b w:val="0"/>
          <w:bCs w:val="0"/>
          <w:color w:val="auto"/>
          <w:kern w:val="2"/>
          <w:sz w:val="32"/>
          <w:szCs w:val="32"/>
          <w:highlight w:val="none"/>
          <w:lang w:val="en-US" w:eastAsia="zh-CN" w:bidi="ar-SA"/>
        </w:rPr>
        <w:t>2023年曲江区按照《韶关市2023年“四好农村路”高质量发展建设攻坚方案》的要求，紧紧围绕“建好、管好、护好、运营好”的总目标，全力推进“四好农村路”建设并落实公路管护，为全区农村经济全面发展提供强大动力。一是“四好农村路”建设方面。全年完成“四好农村路”建设（通建制村单改双工程和路网联结改造工程）项目14个，完成新改建农村公路里程27.121公里；完成C429线岭头桥、Y359线隔坑口桥、坑口村委毛屋桥、C509线角山桥、C030线上李桥等5座危桥改造工程。二是“四好农村路”管护方面。曲江区农村公路管养总里程1511.094公里，列养率达100%，由各乡镇养护道班分别成立养护公司，签订日常养护承包合同，根据《2023年曲江区农村公路管理养护实施方案及考核机制》负责对各自辖区内的农村公路进行管养。同时，</w:t>
      </w:r>
      <w:r>
        <w:rPr>
          <w:rFonts w:hint="default" w:ascii="仿宋_GB2312" w:hAnsi="仿宋_GB2312" w:eastAsia="仿宋_GB2312" w:cs="仿宋_GB2312"/>
          <w:b w:val="0"/>
          <w:bCs w:val="0"/>
          <w:kern w:val="2"/>
          <w:sz w:val="32"/>
          <w:highlight w:val="none"/>
          <w:lang w:val="en-US" w:eastAsia="zh-CN"/>
        </w:rPr>
        <w:t>把农村公路养护管理工作列入乡镇年度绩效考核的重要内容，每月对公路养护成效、日常管理等内容进行督查、考核，压实主体管理责任。</w:t>
      </w:r>
    </w:p>
    <w:bookmarkEnd w:id="32"/>
    <w:bookmarkEnd w:id="33"/>
    <w:bookmarkEnd w:id="34"/>
    <w:p>
      <w:pPr>
        <w:spacing w:line="360" w:lineRule="auto"/>
        <w:ind w:firstLine="640" w:firstLineChars="200"/>
        <w:outlineLvl w:val="0"/>
        <w:rPr>
          <w:rFonts w:ascii="Times New Roman" w:hAnsi="Times New Roman" w:eastAsia="黑体" w:cs="Times New Roman"/>
          <w:sz w:val="32"/>
          <w:szCs w:val="32"/>
        </w:rPr>
      </w:pPr>
      <w:bookmarkStart w:id="35" w:name="_Toc96960267"/>
      <w:r>
        <w:rPr>
          <w:rFonts w:hint="eastAsia" w:ascii="Times New Roman" w:hAnsi="Times New Roman" w:eastAsia="黑体" w:cs="Times New Roman"/>
          <w:sz w:val="32"/>
          <w:szCs w:val="32"/>
        </w:rPr>
        <w:t>五、存在问题</w:t>
      </w:r>
      <w:bookmarkEnd w:id="35"/>
    </w:p>
    <w:p>
      <w:pPr>
        <w:spacing w:line="360" w:lineRule="auto"/>
        <w:ind w:firstLine="642" w:firstLineChars="200"/>
        <w:outlineLvl w:val="1"/>
        <w:rPr>
          <w:rFonts w:hint="eastAsia" w:ascii="楷体" w:hAnsi="楷体" w:eastAsia="楷体" w:cs="楷体"/>
          <w:b/>
          <w:bCs/>
          <w:sz w:val="32"/>
          <w:szCs w:val="32"/>
          <w:lang w:eastAsia="zh-CN"/>
        </w:rPr>
      </w:pPr>
      <w:bookmarkStart w:id="36" w:name="_Toc29864"/>
      <w:bookmarkStart w:id="37" w:name="_Toc96960268"/>
      <w:r>
        <w:rPr>
          <w:rFonts w:hint="eastAsia" w:ascii="楷体" w:hAnsi="楷体" w:eastAsia="楷体" w:cs="楷体"/>
          <w:b/>
          <w:bCs/>
          <w:sz w:val="32"/>
          <w:szCs w:val="32"/>
        </w:rPr>
        <w:t>（一）项目绩效指标的设置存在瑕疵</w:t>
      </w:r>
    </w:p>
    <w:p>
      <w:pPr>
        <w:spacing w:line="360" w:lineRule="auto"/>
        <w:ind w:firstLine="640" w:firstLineChars="200"/>
        <w:outlineLvl w:val="1"/>
        <w:rPr>
          <w:rFonts w:hint="eastAsia" w:ascii="楷体" w:hAnsi="楷体" w:eastAsia="楷体" w:cs="楷体"/>
          <w:b/>
          <w:bCs/>
          <w:sz w:val="32"/>
          <w:szCs w:val="32"/>
        </w:rPr>
      </w:pPr>
      <w:r>
        <w:rPr>
          <w:rFonts w:hint="eastAsia" w:ascii="仿宋_GB2312" w:hAnsi="仿宋_GB2312" w:eastAsia="仿宋_GB2312" w:cs="仿宋_GB2312"/>
          <w:color w:val="000000"/>
          <w:sz w:val="32"/>
        </w:rPr>
        <w:t>部分涉农资金项目申报的绩效指标难以衡量，如“韶关市曲江区苍村水库除险加固工程”项目的数量指标溢洪道除险修复长度和防汛公路维修长度，指标值分别为“约130米*宽22米”和“约1.2公里长，宽3.5米”，其中的“约”无明确的范围，难以衡量是否达标；“韶关市曲江区2023年粮食生产补助项目”项目的社会效益指标“较大程度确保粮食安全（是/否）”指标值为“是”，其中的“较大程度”无明确的范围或标准，难以衡量目标是否实现。</w:t>
      </w:r>
    </w:p>
    <w:p>
      <w:pPr>
        <w:spacing w:line="360" w:lineRule="auto"/>
        <w:ind w:firstLine="642" w:firstLineChars="200"/>
        <w:outlineLvl w:val="1"/>
        <w:rPr>
          <w:rFonts w:hint="eastAsia" w:ascii="楷体" w:hAnsi="楷体" w:eastAsia="楷体" w:cs="楷体"/>
          <w:b/>
          <w:bCs/>
          <w:sz w:val="32"/>
          <w:szCs w:val="32"/>
          <w:lang w:eastAsia="zh-CN"/>
        </w:rPr>
      </w:pPr>
      <w:r>
        <w:rPr>
          <w:rFonts w:hint="eastAsia" w:ascii="楷体" w:hAnsi="楷体" w:eastAsia="楷体" w:cs="楷体"/>
          <w:b/>
          <w:bCs/>
          <w:sz w:val="32"/>
          <w:szCs w:val="32"/>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rPr>
        <w:t>）</w:t>
      </w:r>
      <w:bookmarkEnd w:id="36"/>
      <w:r>
        <w:rPr>
          <w:rFonts w:hint="eastAsia" w:ascii="楷体" w:hAnsi="楷体" w:eastAsia="楷体" w:cs="楷体"/>
          <w:b/>
          <w:bCs/>
          <w:sz w:val="32"/>
          <w:szCs w:val="32"/>
        </w:rPr>
        <w:t>资金支出率</w:t>
      </w:r>
      <w:bookmarkEnd w:id="37"/>
      <w:r>
        <w:rPr>
          <w:rFonts w:hint="eastAsia" w:ascii="楷体" w:hAnsi="楷体" w:eastAsia="楷体" w:cs="楷体"/>
          <w:b/>
          <w:bCs/>
          <w:sz w:val="32"/>
          <w:szCs w:val="32"/>
          <w:lang w:val="en-US" w:eastAsia="zh-CN"/>
        </w:rPr>
        <w:t>较低</w:t>
      </w:r>
    </w:p>
    <w:p>
      <w:pPr>
        <w:ind w:firstLine="640" w:firstLineChars="200"/>
      </w:pPr>
      <w:r>
        <w:rPr>
          <w:rFonts w:hint="eastAsia" w:ascii="仿宋_GB2312" w:hAnsi="仿宋_GB2312" w:eastAsia="仿宋_GB2312" w:cs="仿宋_GB2312"/>
          <w:color w:val="000000"/>
          <w:sz w:val="32"/>
        </w:rPr>
        <w:t>2023年韶关市曲江区省级涉农统筹整合转移支付资金总额20,728.05万元，截至2023年12月31日，实际支出1,476.66万元，资金支出率仅为7.12%。支出率较低的原因主要是2023年整体经济低迷，财政收入骤减不及预期，财政收支紧张，“三保”面临较大压力，</w:t>
      </w:r>
      <w:r>
        <w:rPr>
          <w:rFonts w:hint="eastAsia" w:ascii="仿宋_GB2312" w:hAnsi="仿宋_GB2312" w:eastAsia="仿宋_GB2312" w:cs="仿宋_GB2312"/>
          <w:color w:val="000000"/>
          <w:sz w:val="32"/>
          <w:lang w:val="en-US" w:eastAsia="zh-CN"/>
        </w:rPr>
        <w:t>导致</w:t>
      </w:r>
      <w:r>
        <w:rPr>
          <w:rFonts w:hint="eastAsia" w:ascii="仿宋_GB2312" w:hAnsi="仿宋_GB2312" w:eastAsia="仿宋_GB2312" w:cs="仿宋_GB2312"/>
          <w:color w:val="000000"/>
          <w:sz w:val="32"/>
        </w:rPr>
        <w:t>项目款项无法在当年度支出；其次是个别项目前期工作不够充分，项目实施进度滞后于计划，如韶关市曲江区高标准农田建设后期管护项目（韶关市曲江区2023年冬修农田水利工程）、X855线南华至石堡县道网升级工程（路网联结改造）等。</w:t>
      </w:r>
    </w:p>
    <w:p>
      <w:pPr>
        <w:spacing w:line="360" w:lineRule="auto"/>
        <w:ind w:firstLine="642" w:firstLineChars="200"/>
        <w:outlineLvl w:val="1"/>
        <w:rPr>
          <w:rFonts w:hint="default" w:ascii="楷体" w:hAnsi="楷体" w:eastAsia="楷体" w:cs="楷体"/>
          <w:b/>
          <w:bCs/>
          <w:sz w:val="32"/>
          <w:szCs w:val="32"/>
          <w:lang w:val="en-US" w:eastAsia="zh-CN"/>
        </w:rPr>
      </w:pPr>
      <w:bookmarkStart w:id="38" w:name="_Toc96960269"/>
      <w:r>
        <w:rPr>
          <w:rFonts w:hint="eastAsia" w:ascii="楷体" w:hAnsi="楷体" w:eastAsia="楷体" w:cs="楷体"/>
          <w:b/>
          <w:bCs/>
          <w:sz w:val="32"/>
          <w:szCs w:val="32"/>
        </w:rPr>
        <w:t>（</w:t>
      </w:r>
      <w:r>
        <w:rPr>
          <w:rFonts w:hint="eastAsia" w:ascii="楷体" w:hAnsi="楷体" w:eastAsia="楷体" w:cs="楷体"/>
          <w:b/>
          <w:bCs/>
          <w:sz w:val="32"/>
          <w:szCs w:val="32"/>
          <w:lang w:val="en-US" w:eastAsia="zh-CN"/>
        </w:rPr>
        <w:t>三</w:t>
      </w:r>
      <w:r>
        <w:rPr>
          <w:rFonts w:hint="eastAsia" w:ascii="楷体" w:hAnsi="楷体" w:eastAsia="楷体" w:cs="楷体"/>
          <w:b/>
          <w:bCs/>
          <w:sz w:val="32"/>
          <w:szCs w:val="32"/>
        </w:rPr>
        <w:t>）</w:t>
      </w:r>
      <w:bookmarkEnd w:id="38"/>
      <w:r>
        <w:rPr>
          <w:rFonts w:hint="eastAsia" w:ascii="楷体" w:hAnsi="楷体" w:eastAsia="楷体" w:cs="楷体"/>
          <w:b/>
          <w:bCs/>
          <w:sz w:val="32"/>
          <w:szCs w:val="32"/>
        </w:rPr>
        <w:t>部分项目</w:t>
      </w:r>
      <w:r>
        <w:rPr>
          <w:rFonts w:hint="eastAsia" w:ascii="楷体" w:hAnsi="楷体" w:eastAsia="楷体" w:cs="楷体"/>
          <w:b/>
          <w:bCs/>
          <w:sz w:val="32"/>
          <w:szCs w:val="32"/>
          <w:lang w:val="en-US" w:eastAsia="zh-CN"/>
        </w:rPr>
        <w:t>实施进度未达预期</w:t>
      </w:r>
    </w:p>
    <w:p>
      <w:pPr>
        <w:ind w:firstLine="640" w:firstLineChars="200"/>
        <w:rPr>
          <w:rStyle w:val="20"/>
          <w:rFonts w:cs="Times New Roman"/>
          <w:sz w:val="32"/>
        </w:rPr>
      </w:pPr>
      <w:r>
        <w:rPr>
          <w:rFonts w:hint="eastAsia" w:ascii="仿宋_GB2312" w:hAnsi="仿宋_GB2312" w:eastAsia="仿宋_GB2312" w:cs="仿宋_GB2312"/>
          <w:b w:val="0"/>
          <w:bCs w:val="0"/>
          <w:sz w:val="32"/>
          <w:szCs w:val="32"/>
          <w:highlight w:val="none"/>
          <w:lang w:val="en-US" w:eastAsia="zh-CN"/>
        </w:rPr>
        <w:t>2023年度曲江区共安排省级涉农统筹整合转移支付资金项目103个，截至2023年12月底，未完成当年度实施（建设）计划的项目11个，占比10.68%。</w:t>
      </w:r>
    </w:p>
    <w:p>
      <w:pPr>
        <w:spacing w:line="360" w:lineRule="auto"/>
        <w:ind w:firstLine="640" w:firstLineChars="200"/>
        <w:outlineLvl w:val="0"/>
        <w:rPr>
          <w:rFonts w:ascii="Times New Roman" w:hAnsi="Times New Roman" w:eastAsia="黑体" w:cs="Times New Roman"/>
          <w:sz w:val="32"/>
          <w:szCs w:val="32"/>
        </w:rPr>
      </w:pPr>
      <w:bookmarkStart w:id="39" w:name="_Toc96960271"/>
      <w:r>
        <w:rPr>
          <w:rFonts w:hint="eastAsia" w:ascii="Times New Roman" w:hAnsi="Times New Roman" w:eastAsia="黑体" w:cs="Times New Roman"/>
          <w:sz w:val="32"/>
          <w:szCs w:val="32"/>
        </w:rPr>
        <w:t>六、相关建议</w:t>
      </w:r>
      <w:bookmarkEnd w:id="39"/>
    </w:p>
    <w:p>
      <w:pPr>
        <w:spacing w:line="360" w:lineRule="auto"/>
        <w:ind w:firstLine="642" w:firstLineChars="200"/>
        <w:outlineLvl w:val="1"/>
        <w:rPr>
          <w:rFonts w:hint="eastAsia" w:ascii="楷体" w:hAnsi="楷体" w:eastAsia="楷体" w:cs="楷体"/>
          <w:b/>
          <w:bCs/>
          <w:sz w:val="32"/>
          <w:szCs w:val="32"/>
          <w:lang w:val="en-US" w:eastAsia="zh-CN"/>
        </w:rPr>
      </w:pPr>
      <w:bookmarkStart w:id="40" w:name="_Toc96960272"/>
      <w:bookmarkStart w:id="41" w:name="_Toc30012"/>
      <w:bookmarkStart w:id="42" w:name="_Toc25203"/>
      <w:bookmarkStart w:id="43" w:name="_Toc26914"/>
      <w:r>
        <w:rPr>
          <w:rFonts w:hint="eastAsia" w:ascii="楷体" w:hAnsi="楷体" w:eastAsia="楷体" w:cs="楷体"/>
          <w:b/>
          <w:bCs/>
          <w:sz w:val="32"/>
          <w:szCs w:val="32"/>
        </w:rPr>
        <w:t>（一）</w:t>
      </w:r>
      <w:r>
        <w:rPr>
          <w:rFonts w:hint="eastAsia" w:ascii="楷体" w:hAnsi="楷体" w:eastAsia="楷体" w:cs="楷体"/>
          <w:b/>
          <w:bCs/>
          <w:sz w:val="32"/>
          <w:szCs w:val="32"/>
          <w:lang w:val="en-US" w:eastAsia="zh-CN"/>
        </w:rPr>
        <w:t>进一步提升</w:t>
      </w:r>
      <w:r>
        <w:rPr>
          <w:rFonts w:hint="eastAsia" w:ascii="楷体" w:hAnsi="楷体" w:eastAsia="楷体" w:cs="楷体"/>
          <w:b/>
          <w:bCs/>
          <w:sz w:val="32"/>
          <w:szCs w:val="32"/>
        </w:rPr>
        <w:t>项目绩效指标的设置</w:t>
      </w:r>
      <w:r>
        <w:rPr>
          <w:rFonts w:hint="eastAsia" w:ascii="楷体" w:hAnsi="楷体" w:eastAsia="楷体" w:cs="楷体"/>
          <w:b/>
          <w:bCs/>
          <w:sz w:val="32"/>
          <w:szCs w:val="32"/>
          <w:lang w:val="en-US" w:eastAsia="zh-CN"/>
        </w:rPr>
        <w:t>质量</w:t>
      </w:r>
    </w:p>
    <w:p>
      <w:pPr>
        <w:spacing w:line="360" w:lineRule="auto"/>
        <w:ind w:firstLine="640" w:firstLineChars="200"/>
        <w:outlineLvl w:val="1"/>
        <w:rPr>
          <w:rFonts w:hint="default" w:ascii="楷体" w:hAnsi="楷体" w:eastAsia="楷体" w:cs="楷体"/>
          <w:b/>
          <w:bCs/>
          <w:sz w:val="32"/>
          <w:szCs w:val="32"/>
          <w:lang w:val="en-US" w:eastAsia="zh-CN"/>
        </w:rPr>
      </w:pPr>
      <w:r>
        <w:rPr>
          <w:rFonts w:hint="eastAsia" w:ascii="仿宋_GB2312" w:hAnsi="仿宋_GB2312" w:eastAsia="仿宋_GB2312" w:cs="仿宋_GB2312"/>
          <w:color w:val="000000"/>
          <w:sz w:val="32"/>
          <w:lang w:val="en-US" w:eastAsia="zh-CN"/>
        </w:rPr>
        <w:t>一是建议各涉农项目单位相关人员加强绩效目标设置技术规范的学习，仔细对照《广东省省级财政预算绩效目标编制审核指南》中绩效目标和绩效指标编制的技术指引，开展预算绩效目标和绩效指标编制工作，</w:t>
      </w:r>
      <w:r>
        <w:rPr>
          <w:rFonts w:hint="eastAsia" w:ascii="仿宋_GB2312" w:hAnsi="仿宋_GB2312" w:eastAsia="仿宋_GB2312" w:cs="仿宋_GB2312"/>
          <w:b w:val="0"/>
          <w:bCs w:val="0"/>
          <w:color w:val="auto"/>
          <w:kern w:val="2"/>
          <w:sz w:val="32"/>
          <w:szCs w:val="32"/>
          <w:lang w:val="en-US" w:eastAsia="zh-CN" w:bidi="ar-SA"/>
        </w:rPr>
        <w:t>提升单位绩效目标和绩效指标编制质量</w:t>
      </w:r>
      <w:r>
        <w:rPr>
          <w:rFonts w:hint="eastAsia" w:ascii="仿宋_GB2312" w:hAnsi="仿宋_GB2312" w:eastAsia="仿宋_GB2312" w:cs="仿宋_GB2312"/>
          <w:color w:val="000000"/>
          <w:sz w:val="32"/>
          <w:lang w:val="en-US" w:eastAsia="zh-CN"/>
        </w:rPr>
        <w:t>。二是各涉农项目单位积极组织相关人员参与各级财政举办的绩效目标编制申报工作培训，提升单位相关人员的独立、高质量完成绩效目标编制的能力。</w:t>
      </w:r>
    </w:p>
    <w:p>
      <w:pPr>
        <w:spacing w:line="360" w:lineRule="auto"/>
        <w:ind w:firstLine="642" w:firstLineChars="200"/>
        <w:outlineLvl w:val="1"/>
        <w:rPr>
          <w:rFonts w:hint="eastAsia" w:ascii="楷体" w:hAnsi="楷体" w:eastAsia="楷体" w:cs="楷体"/>
          <w:b/>
          <w:bCs/>
          <w:sz w:val="32"/>
          <w:szCs w:val="32"/>
        </w:rPr>
      </w:pPr>
      <w:r>
        <w:rPr>
          <w:rFonts w:hint="eastAsia" w:ascii="楷体" w:hAnsi="楷体" w:eastAsia="楷体" w:cs="楷体"/>
          <w:b/>
          <w:bCs/>
          <w:sz w:val="32"/>
          <w:szCs w:val="32"/>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rPr>
        <w:t>）</w:t>
      </w:r>
      <w:bookmarkEnd w:id="40"/>
      <w:bookmarkEnd w:id="41"/>
      <w:bookmarkEnd w:id="42"/>
      <w:bookmarkEnd w:id="43"/>
      <w:bookmarkStart w:id="44" w:name="_Toc96960273"/>
      <w:r>
        <w:rPr>
          <w:rFonts w:hint="eastAsia" w:ascii="楷体" w:hAnsi="楷体" w:eastAsia="楷体" w:cs="楷体"/>
          <w:b/>
          <w:bCs/>
          <w:sz w:val="32"/>
          <w:szCs w:val="32"/>
          <w:lang w:val="en-US" w:eastAsia="zh-CN"/>
        </w:rPr>
        <w:t>加强</w:t>
      </w:r>
      <w:r>
        <w:rPr>
          <w:rFonts w:hint="eastAsia" w:ascii="楷体" w:hAnsi="楷体" w:eastAsia="楷体" w:cs="楷体"/>
          <w:b/>
          <w:bCs/>
          <w:sz w:val="32"/>
          <w:szCs w:val="32"/>
        </w:rPr>
        <w:t>资金</w:t>
      </w:r>
      <w:bookmarkEnd w:id="44"/>
      <w:r>
        <w:rPr>
          <w:rFonts w:hint="eastAsia" w:ascii="楷体" w:hAnsi="楷体" w:eastAsia="楷体" w:cs="楷体"/>
          <w:b/>
          <w:bCs/>
          <w:sz w:val="32"/>
          <w:szCs w:val="32"/>
          <w:lang w:val="en-US" w:eastAsia="zh-CN"/>
        </w:rPr>
        <w:t>统筹，完善项目前期工作</w:t>
      </w:r>
    </w:p>
    <w:p>
      <w:pPr>
        <w:ind w:firstLine="640" w:firstLineChars="200"/>
        <w:rPr>
          <w:rFonts w:ascii="仿宋_GB2312" w:eastAsia="仿宋_GB2312"/>
          <w:b w:val="0"/>
          <w:bCs w:val="0"/>
          <w:sz w:val="32"/>
        </w:rPr>
      </w:pPr>
      <w:r>
        <w:rPr>
          <w:rFonts w:hint="eastAsia" w:ascii="仿宋_GB2312" w:eastAsia="仿宋_GB2312"/>
          <w:b w:val="0"/>
          <w:bCs w:val="0"/>
          <w:sz w:val="32"/>
        </w:rPr>
        <w:t>一是加强对财政资金的统筹调度，优先保障关系到考核任务的完成以及人民群众迫切需求的重点项目支出，同时发挥财政资金的撬动效用，积极整合社会资源参与到农业农村建设。二是完善项目前期工作，进一步提高入库项目的成熟度，同时坚持贯彻“先</w:t>
      </w:r>
      <w:r>
        <w:rPr>
          <w:rFonts w:hint="eastAsia" w:ascii="仿宋_GB2312" w:eastAsia="仿宋_GB2312"/>
          <w:b w:val="0"/>
          <w:bCs w:val="0"/>
          <w:sz w:val="32"/>
          <w:lang w:eastAsia="zh-CN"/>
        </w:rPr>
        <w:t>谋事</w:t>
      </w:r>
      <w:r>
        <w:rPr>
          <w:rFonts w:hint="eastAsia" w:ascii="仿宋_GB2312" w:eastAsia="仿宋_GB2312"/>
          <w:b w:val="0"/>
          <w:bCs w:val="0"/>
          <w:sz w:val="32"/>
        </w:rPr>
        <w:t>后排钱”的理念，把项目前期工作的完成度作为资金分配的重要依据。</w:t>
      </w:r>
    </w:p>
    <w:p>
      <w:pPr>
        <w:spacing w:line="360" w:lineRule="auto"/>
        <w:ind w:firstLine="642" w:firstLineChars="200"/>
        <w:outlineLvl w:val="1"/>
        <w:rPr>
          <w:rFonts w:hint="default" w:ascii="楷体" w:hAnsi="楷体" w:eastAsia="楷体" w:cs="楷体"/>
          <w:b/>
          <w:bCs/>
          <w:sz w:val="32"/>
          <w:szCs w:val="32"/>
          <w:lang w:val="en-US"/>
        </w:rPr>
      </w:pPr>
      <w:bookmarkStart w:id="45" w:name="_Toc96960274"/>
      <w:r>
        <w:rPr>
          <w:rFonts w:hint="eastAsia" w:ascii="楷体" w:hAnsi="楷体" w:eastAsia="楷体" w:cs="楷体"/>
          <w:b/>
          <w:bCs/>
          <w:sz w:val="32"/>
          <w:szCs w:val="32"/>
        </w:rPr>
        <w:t>（</w:t>
      </w:r>
      <w:r>
        <w:rPr>
          <w:rFonts w:hint="eastAsia" w:ascii="楷体" w:hAnsi="楷体" w:eastAsia="楷体" w:cs="楷体"/>
          <w:b/>
          <w:bCs/>
          <w:sz w:val="32"/>
          <w:szCs w:val="32"/>
          <w:lang w:val="en-US" w:eastAsia="zh-CN"/>
        </w:rPr>
        <w:t>三</w:t>
      </w:r>
      <w:r>
        <w:rPr>
          <w:rFonts w:hint="eastAsia" w:ascii="楷体" w:hAnsi="楷体" w:eastAsia="楷体" w:cs="楷体"/>
          <w:b/>
          <w:bCs/>
          <w:sz w:val="32"/>
          <w:szCs w:val="32"/>
        </w:rPr>
        <w:t>）</w:t>
      </w:r>
      <w:bookmarkEnd w:id="45"/>
      <w:r>
        <w:rPr>
          <w:rFonts w:hint="eastAsia" w:ascii="楷体" w:hAnsi="楷体" w:eastAsia="楷体" w:cs="楷体"/>
          <w:b/>
          <w:bCs/>
          <w:sz w:val="32"/>
          <w:szCs w:val="32"/>
          <w:lang w:val="en-US" w:eastAsia="zh-CN"/>
        </w:rPr>
        <w:t>采取</w:t>
      </w:r>
      <w:r>
        <w:rPr>
          <w:rFonts w:hint="eastAsia" w:ascii="楷体" w:hAnsi="楷体" w:eastAsia="楷体" w:cs="楷体"/>
          <w:b/>
          <w:bCs/>
          <w:sz w:val="32"/>
          <w:szCs w:val="32"/>
        </w:rPr>
        <w:t>积极</w:t>
      </w:r>
      <w:r>
        <w:rPr>
          <w:rFonts w:hint="eastAsia" w:ascii="楷体" w:hAnsi="楷体" w:eastAsia="楷体" w:cs="楷体"/>
          <w:b/>
          <w:bCs/>
          <w:sz w:val="32"/>
          <w:szCs w:val="32"/>
          <w:lang w:val="en-US" w:eastAsia="zh-CN"/>
        </w:rPr>
        <w:t>措施保障项目实施进度</w:t>
      </w:r>
    </w:p>
    <w:p>
      <w:pPr>
        <w:ind w:firstLine="640" w:firstLineChars="200"/>
        <w:rPr>
          <w:rFonts w:hint="eastAsia" w:ascii="宋体" w:hAnsi="Courier New" w:eastAsia="仿宋_GB2312" w:cs="Courier New"/>
          <w:b w:val="0"/>
          <w:bCs w:val="0"/>
          <w:color w:val="000000"/>
          <w:sz w:val="32"/>
          <w:szCs w:val="21"/>
        </w:rPr>
      </w:pPr>
      <w:r>
        <w:rPr>
          <w:rFonts w:hint="eastAsia" w:ascii="宋体" w:hAnsi="Courier New" w:eastAsia="仿宋_GB2312" w:cs="Courier New"/>
          <w:b w:val="0"/>
          <w:bCs w:val="0"/>
          <w:color w:val="000000"/>
          <w:sz w:val="32"/>
          <w:szCs w:val="21"/>
          <w:lang w:val="en-US" w:eastAsia="zh-CN"/>
        </w:rPr>
        <w:t>一是</w:t>
      </w:r>
      <w:r>
        <w:rPr>
          <w:rFonts w:hint="eastAsia" w:ascii="宋体" w:hAnsi="Courier New" w:eastAsia="仿宋_GB2312" w:cs="Courier New"/>
          <w:b w:val="0"/>
          <w:bCs w:val="0"/>
          <w:color w:val="000000"/>
          <w:sz w:val="32"/>
          <w:szCs w:val="21"/>
        </w:rPr>
        <w:t>合理制定项目实施计划，明确每个阶段的具体建设目标和时间节点，提高项目管理的可控性和可预测性。二是加强项目承担单位与项目业主、项目业主与主管部门、主管部门与涉农办之间的沟通协调，及时发现并研究解决项目实施过程</w:t>
      </w:r>
      <w:r>
        <w:rPr>
          <w:rFonts w:hint="eastAsia" w:ascii="宋体" w:hAnsi="Courier New" w:eastAsia="仿宋_GB2312" w:cs="Courier New"/>
          <w:b w:val="0"/>
          <w:bCs w:val="0"/>
          <w:color w:val="000000"/>
          <w:sz w:val="32"/>
          <w:szCs w:val="21"/>
          <w:lang w:eastAsia="zh-CN"/>
        </w:rPr>
        <w:t>中</w:t>
      </w:r>
      <w:r>
        <w:rPr>
          <w:rFonts w:hint="eastAsia" w:ascii="宋体" w:hAnsi="Courier New" w:eastAsia="仿宋_GB2312" w:cs="Courier New"/>
          <w:b w:val="0"/>
          <w:bCs w:val="0"/>
          <w:color w:val="000000"/>
          <w:sz w:val="32"/>
          <w:szCs w:val="21"/>
        </w:rPr>
        <w:t>存在的问题，避免项目进展受阻。三是积极利用兄弟部门、第三方专业机构、行业协会、乡贤村望等外部资源，为项目增加技术和人力支持，保障项目顺利实施。</w:t>
      </w:r>
    </w:p>
    <w:p>
      <w:pPr>
        <w:outlineLvl w:val="9"/>
        <w:rPr>
          <w:rStyle w:val="20"/>
          <w:rFonts w:hint="eastAsia"/>
          <w:sz w:val="32"/>
        </w:rPr>
      </w:pPr>
      <w:bookmarkStart w:id="46" w:name="_Toc16422"/>
      <w:bookmarkStart w:id="47" w:name="_Toc1275"/>
    </w:p>
    <w:p>
      <w:pPr>
        <w:outlineLvl w:val="9"/>
        <w:rPr>
          <w:rStyle w:val="20"/>
          <w:rFonts w:hint="eastAsia"/>
          <w:sz w:val="32"/>
        </w:rPr>
      </w:pPr>
      <w:r>
        <w:rPr>
          <w:rStyle w:val="20"/>
          <w:rFonts w:hint="eastAsia"/>
          <w:sz w:val="32"/>
        </w:rPr>
        <w:t>附件</w:t>
      </w:r>
      <w:r>
        <w:rPr>
          <w:rStyle w:val="20"/>
          <w:sz w:val="32"/>
        </w:rPr>
        <w:t>1</w:t>
      </w:r>
      <w:r>
        <w:rPr>
          <w:rStyle w:val="20"/>
          <w:rFonts w:hint="eastAsia"/>
          <w:sz w:val="32"/>
        </w:rPr>
        <w:t>：</w:t>
      </w:r>
      <w:r>
        <w:rPr>
          <w:rStyle w:val="20"/>
          <w:rFonts w:hint="eastAsia" w:eastAsia="仿宋_GB2312"/>
          <w:sz w:val="32"/>
          <w:lang w:eastAsia="zh-CN"/>
        </w:rPr>
        <w:t>《</w:t>
      </w:r>
      <w:r>
        <w:rPr>
          <w:rStyle w:val="20"/>
          <w:rFonts w:hint="eastAsia" w:eastAsia="仿宋_GB2312"/>
          <w:sz w:val="32"/>
          <w:lang w:val="en-US" w:eastAsia="zh-CN"/>
        </w:rPr>
        <w:t>韶关市曲江区</w:t>
      </w:r>
      <w:r>
        <w:rPr>
          <w:rStyle w:val="20"/>
          <w:rFonts w:hint="eastAsia" w:eastAsia="仿宋_GB2312"/>
          <w:sz w:val="32"/>
          <w:lang w:eastAsia="zh-CN"/>
        </w:rPr>
        <w:t>2023</w:t>
      </w:r>
      <w:r>
        <w:rPr>
          <w:rStyle w:val="20"/>
          <w:rFonts w:hint="eastAsia"/>
          <w:sz w:val="32"/>
        </w:rPr>
        <w:t>年省级涉农统筹整合转移支付资金绩效评价技术说明</w:t>
      </w:r>
      <w:bookmarkEnd w:id="46"/>
      <w:bookmarkEnd w:id="47"/>
      <w:r>
        <w:rPr>
          <w:rStyle w:val="20"/>
          <w:rFonts w:hint="eastAsia" w:eastAsia="仿宋_GB2312"/>
          <w:sz w:val="32"/>
          <w:lang w:eastAsia="zh-CN"/>
        </w:rPr>
        <w:t>》</w:t>
      </w:r>
    </w:p>
    <w:p>
      <w:pPr>
        <w:outlineLvl w:val="9"/>
        <w:rPr>
          <w:rFonts w:hint="eastAsia" w:ascii="黑体" w:hAnsi="黑体" w:eastAsia="黑体" w:cs="黑体"/>
          <w:bCs/>
          <w:kern w:val="2"/>
          <w:sz w:val="32"/>
        </w:rPr>
      </w:pPr>
      <w:bookmarkStart w:id="48" w:name="_Toc27241"/>
      <w:bookmarkStart w:id="49" w:name="_Toc3248"/>
      <w:r>
        <w:rPr>
          <w:rStyle w:val="20"/>
          <w:rFonts w:hint="eastAsia"/>
          <w:sz w:val="32"/>
        </w:rPr>
        <w:t>附件2：</w:t>
      </w:r>
      <w:r>
        <w:rPr>
          <w:rStyle w:val="20"/>
          <w:rFonts w:hint="eastAsia" w:eastAsia="仿宋_GB2312"/>
          <w:sz w:val="32"/>
          <w:lang w:eastAsia="zh-CN"/>
        </w:rPr>
        <w:t>《</w:t>
      </w:r>
      <w:r>
        <w:rPr>
          <w:rStyle w:val="20"/>
          <w:rFonts w:hint="eastAsia" w:eastAsia="仿宋_GB2312"/>
          <w:sz w:val="32"/>
          <w:lang w:val="en-US" w:eastAsia="zh-CN"/>
        </w:rPr>
        <w:t>韶关市曲江区</w:t>
      </w:r>
      <w:r>
        <w:rPr>
          <w:rStyle w:val="20"/>
          <w:rFonts w:hint="eastAsia" w:eastAsia="仿宋_GB2312"/>
          <w:sz w:val="32"/>
          <w:lang w:eastAsia="zh-CN"/>
        </w:rPr>
        <w:t>2023</w:t>
      </w:r>
      <w:r>
        <w:rPr>
          <w:rStyle w:val="20"/>
          <w:rFonts w:hint="eastAsia"/>
          <w:sz w:val="32"/>
        </w:rPr>
        <w:t>年省级涉农统筹整合转移支付资金绩效评价指标表</w:t>
      </w:r>
      <w:bookmarkEnd w:id="48"/>
      <w:bookmarkEnd w:id="49"/>
      <w:r>
        <w:rPr>
          <w:rStyle w:val="20"/>
          <w:rFonts w:hint="eastAsia" w:eastAsia="仿宋_GB2312"/>
          <w:sz w:val="32"/>
          <w:lang w:eastAsia="zh-CN"/>
        </w:rPr>
        <w:t>》</w:t>
      </w:r>
    </w:p>
    <w:p>
      <w:pPr>
        <w:pStyle w:val="15"/>
      </w:pPr>
    </w:p>
    <w:p>
      <w:pPr>
        <w:rPr>
          <w:b/>
          <w:bCs/>
          <w:sz w:val="32"/>
          <w:szCs w:val="32"/>
        </w:rPr>
      </w:pPr>
    </w:p>
    <w:p>
      <w:pPr>
        <w:rPr>
          <w:b/>
          <w:bCs/>
          <w:sz w:val="32"/>
          <w:szCs w:val="32"/>
        </w:rPr>
      </w:pPr>
    </w:p>
    <w:p>
      <w:pPr>
        <w:rPr>
          <w:b/>
          <w:bCs/>
          <w:sz w:val="32"/>
          <w:szCs w:val="32"/>
        </w:rPr>
      </w:pPr>
    </w:p>
    <w:p>
      <w:pPr>
        <w:rPr>
          <w:rFonts w:ascii="黑体" w:hAnsi="黑体" w:eastAsia="黑体"/>
          <w:sz w:val="32"/>
          <w:szCs w:val="32"/>
        </w:r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outlineLvl w:val="0"/>
        <w:rPr>
          <w:rFonts w:hint="eastAsia" w:ascii="仿宋_GB2312" w:hAnsi="仿宋_GB2312" w:eastAsia="仿宋_GB2312" w:cs="仿宋_GB2312"/>
          <w:bCs/>
          <w:kern w:val="2"/>
          <w:sz w:val="32"/>
        </w:rPr>
      </w:pPr>
      <w:r>
        <w:rPr>
          <w:rFonts w:hint="eastAsia" w:ascii="仿宋_GB2312" w:hAnsi="仿宋_GB2312" w:eastAsia="仿宋_GB2312" w:cs="仿宋_GB2312"/>
          <w:bCs/>
          <w:kern w:val="2"/>
          <w:sz w:val="32"/>
        </w:rPr>
        <w:t>附件1</w:t>
      </w:r>
    </w:p>
    <w:p>
      <w:pPr>
        <w:jc w:val="center"/>
        <w:outlineLvl w:val="9"/>
        <w:rPr>
          <w:rFonts w:hint="eastAsia" w:ascii="方正小标宋简体" w:hAnsi="方正小标宋简体" w:eastAsia="方正小标宋简体" w:cs="方正小标宋简体"/>
          <w:kern w:val="2"/>
          <w:sz w:val="36"/>
          <w:szCs w:val="36"/>
          <w:lang w:val="en-US" w:eastAsia="zh-CN"/>
        </w:rPr>
      </w:pPr>
      <w:r>
        <w:rPr>
          <w:rFonts w:hint="eastAsia" w:ascii="方正小标宋简体" w:hAnsi="方正小标宋简体" w:eastAsia="方正小标宋简体" w:cs="方正小标宋简体"/>
          <w:kern w:val="2"/>
          <w:sz w:val="36"/>
          <w:szCs w:val="36"/>
          <w:lang w:val="en-US" w:eastAsia="zh-CN"/>
        </w:rPr>
        <w:t>韶关市曲江区</w:t>
      </w:r>
    </w:p>
    <w:p>
      <w:pPr>
        <w:jc w:val="center"/>
        <w:outlineLvl w:val="9"/>
        <w:rPr>
          <w:rFonts w:hint="eastAsia" w:ascii="方正小标宋简体" w:hAnsi="方正小标宋简体" w:eastAsia="方正小标宋简体" w:cs="方正小标宋简体"/>
          <w:kern w:val="2"/>
          <w:sz w:val="36"/>
          <w:szCs w:val="36"/>
          <w:lang w:val="en-US" w:eastAsia="zh-CN"/>
        </w:rPr>
      </w:pPr>
      <w:r>
        <w:rPr>
          <w:rFonts w:hint="eastAsia" w:ascii="方正小标宋简体" w:hAnsi="方正小标宋简体" w:eastAsia="方正小标宋简体" w:cs="方正小标宋简体"/>
          <w:kern w:val="2"/>
          <w:sz w:val="36"/>
          <w:szCs w:val="36"/>
          <w:lang w:val="en-US" w:eastAsia="zh-CN"/>
        </w:rPr>
        <w:t>2023年省级涉农统筹整合转移支付资金</w:t>
      </w:r>
      <w:bookmarkStart w:id="50" w:name="_Toc7084"/>
      <w:bookmarkStart w:id="51" w:name="_Toc13879"/>
      <w:bookmarkStart w:id="52" w:name="_Toc11170"/>
      <w:bookmarkStart w:id="53" w:name="_Toc12497"/>
    </w:p>
    <w:p>
      <w:pPr>
        <w:jc w:val="center"/>
        <w:outlineLvl w:val="9"/>
        <w:rPr>
          <w:rFonts w:hint="eastAsia" w:ascii="方正小标宋简体" w:hAnsi="方正小标宋简体" w:eastAsia="方正小标宋简体" w:cs="方正小标宋简体"/>
          <w:kern w:val="2"/>
          <w:sz w:val="36"/>
          <w:szCs w:val="36"/>
        </w:rPr>
      </w:pPr>
      <w:r>
        <w:rPr>
          <w:rFonts w:hint="eastAsia" w:ascii="方正小标宋简体" w:hAnsi="方正小标宋简体" w:eastAsia="方正小标宋简体" w:cs="方正小标宋简体"/>
          <w:kern w:val="2"/>
          <w:sz w:val="36"/>
          <w:szCs w:val="36"/>
        </w:rPr>
        <w:t>绩效评价技术说明</w:t>
      </w:r>
      <w:bookmarkEnd w:id="50"/>
      <w:bookmarkEnd w:id="51"/>
      <w:bookmarkEnd w:id="52"/>
      <w:bookmarkEnd w:id="53"/>
    </w:p>
    <w:p>
      <w:pPr>
        <w:pStyle w:val="15"/>
        <w:rPr>
          <w:rFonts w:hint="eastAsia"/>
        </w:rPr>
      </w:pPr>
    </w:p>
    <w:p>
      <w:pPr>
        <w:ind w:firstLine="640" w:firstLineChars="200"/>
        <w:rPr>
          <w:rFonts w:eastAsia="黑体"/>
          <w:kern w:val="2"/>
          <w:sz w:val="32"/>
        </w:rPr>
      </w:pPr>
      <w:bookmarkStart w:id="54" w:name="_Toc11519029"/>
      <w:bookmarkStart w:id="55" w:name="_Toc6183"/>
      <w:r>
        <w:rPr>
          <w:rFonts w:eastAsia="黑体"/>
          <w:kern w:val="2"/>
          <w:sz w:val="32"/>
        </w:rPr>
        <w:t>一、评价目的</w:t>
      </w:r>
      <w:bookmarkEnd w:id="54"/>
      <w:bookmarkEnd w:id="55"/>
    </w:p>
    <w:p>
      <w:pPr>
        <w:ind w:firstLine="628" w:firstLineChars="200"/>
        <w:rPr>
          <w:rFonts w:hint="eastAsia" w:ascii="仿宋_GB2312" w:hAnsi="仿宋_GB2312" w:eastAsia="仿宋_GB2312" w:cs="仿宋_GB2312"/>
          <w:kern w:val="2"/>
          <w:sz w:val="32"/>
        </w:rPr>
      </w:pPr>
      <w:r>
        <w:rPr>
          <w:rFonts w:hint="eastAsia" w:ascii="仿宋_GB2312" w:hAnsi="仿宋_GB2312" w:eastAsia="仿宋_GB2312" w:cs="仿宋_GB2312"/>
          <w:spacing w:val="-3"/>
          <w:sz w:val="32"/>
          <w:szCs w:val="32"/>
          <w:lang w:val="en-US" w:eastAsia="zh-CN"/>
        </w:rPr>
        <w:t>评价</w:t>
      </w:r>
      <w:r>
        <w:rPr>
          <w:rFonts w:hint="eastAsia" w:ascii="仿宋_GB2312" w:hAnsi="仿宋_GB2312" w:eastAsia="仿宋_GB2312" w:cs="仿宋_GB2312"/>
          <w:spacing w:val="-3"/>
          <w:sz w:val="32"/>
          <w:szCs w:val="32"/>
        </w:rPr>
        <w:t>韶关市曲江区</w:t>
      </w:r>
      <w:r>
        <w:rPr>
          <w:rFonts w:hint="eastAsia" w:ascii="仿宋_GB2312" w:hAnsi="仿宋_GB2312" w:eastAsia="仿宋_GB2312" w:cs="仿宋_GB2312"/>
          <w:spacing w:val="-3"/>
          <w:sz w:val="32"/>
          <w:szCs w:val="32"/>
          <w:lang w:eastAsia="zh-CN"/>
        </w:rPr>
        <w:t>2023</w:t>
      </w:r>
      <w:r>
        <w:rPr>
          <w:rFonts w:hint="eastAsia" w:ascii="仿宋_GB2312" w:hAnsi="仿宋_GB2312" w:eastAsia="仿宋_GB2312" w:cs="仿宋_GB2312"/>
          <w:spacing w:val="-3"/>
          <w:sz w:val="32"/>
          <w:szCs w:val="32"/>
        </w:rPr>
        <w:t>年省级涉农统筹整合转移支付资金的使用绩效，</w:t>
      </w:r>
      <w:r>
        <w:rPr>
          <w:rFonts w:hint="eastAsia" w:ascii="仿宋_GB2312" w:hAnsi="仿宋_GB2312" w:eastAsia="仿宋_GB2312" w:cs="仿宋_GB2312"/>
          <w:spacing w:val="-3"/>
          <w:sz w:val="32"/>
          <w:szCs w:val="32"/>
          <w:lang w:val="en-US" w:eastAsia="zh-CN"/>
        </w:rPr>
        <w:t>分析其取得的绩效成果，</w:t>
      </w:r>
      <w:r>
        <w:rPr>
          <w:rFonts w:hint="eastAsia" w:ascii="仿宋_GB2312" w:hAnsi="仿宋_GB2312" w:eastAsia="仿宋_GB2312" w:cs="仿宋_GB2312"/>
          <w:spacing w:val="-3"/>
          <w:sz w:val="32"/>
          <w:szCs w:val="32"/>
        </w:rPr>
        <w:t>并对存在的不足提出相关建议，为后续财政资金的</w:t>
      </w:r>
      <w:r>
        <w:rPr>
          <w:rFonts w:hint="eastAsia" w:ascii="仿宋_GB2312" w:hAnsi="仿宋_GB2312" w:eastAsia="仿宋_GB2312" w:cs="仿宋_GB2312"/>
          <w:spacing w:val="-3"/>
          <w:sz w:val="32"/>
          <w:szCs w:val="32"/>
          <w:lang w:val="en-US" w:eastAsia="zh-CN"/>
        </w:rPr>
        <w:t>安排</w:t>
      </w:r>
      <w:r>
        <w:rPr>
          <w:rFonts w:hint="eastAsia" w:ascii="仿宋_GB2312" w:hAnsi="仿宋_GB2312" w:eastAsia="仿宋_GB2312" w:cs="仿宋_GB2312"/>
          <w:spacing w:val="-3"/>
          <w:sz w:val="32"/>
          <w:szCs w:val="32"/>
        </w:rPr>
        <w:t>和监管提供参考依据</w:t>
      </w:r>
      <w:r>
        <w:rPr>
          <w:rFonts w:hint="eastAsia" w:ascii="仿宋_GB2312" w:hAnsi="仿宋_GB2312" w:eastAsia="仿宋_GB2312" w:cs="仿宋_GB2312"/>
          <w:kern w:val="2"/>
          <w:sz w:val="32"/>
        </w:rPr>
        <w:t>。</w:t>
      </w:r>
    </w:p>
    <w:p>
      <w:pPr>
        <w:ind w:firstLine="640" w:firstLineChars="200"/>
        <w:rPr>
          <w:rFonts w:eastAsia="黑体"/>
          <w:kern w:val="2"/>
          <w:sz w:val="32"/>
        </w:rPr>
      </w:pPr>
      <w:bookmarkStart w:id="56" w:name="_Toc20016"/>
      <w:bookmarkStart w:id="57" w:name="_Toc11519030"/>
      <w:r>
        <w:rPr>
          <w:rFonts w:eastAsia="黑体"/>
          <w:kern w:val="2"/>
          <w:sz w:val="32"/>
        </w:rPr>
        <w:t>二、评价原则和方法</w:t>
      </w:r>
      <w:bookmarkEnd w:id="56"/>
      <w:bookmarkEnd w:id="57"/>
    </w:p>
    <w:p>
      <w:pPr>
        <w:ind w:firstLine="640" w:firstLineChars="200"/>
        <w:rPr>
          <w:rFonts w:hint="eastAsia" w:ascii="仿宋_GB2312" w:hAnsi="仿宋_GB2312" w:eastAsia="仿宋_GB2312" w:cs="仿宋_GB2312"/>
          <w:kern w:val="2"/>
          <w:sz w:val="32"/>
        </w:rPr>
      </w:pPr>
      <w:r>
        <w:rPr>
          <w:rFonts w:hint="eastAsia" w:ascii="仿宋_GB2312" w:hAnsi="仿宋_GB2312" w:eastAsia="仿宋_GB2312" w:cs="仿宋_GB2312"/>
          <w:sz w:val="32"/>
        </w:rPr>
        <w:t>本次绩效评价工作遵循“客观、公正、科学、规范”的原则</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以书面材料核查、访谈、座谈、走访交流、选点抽查为基础，综合运用成本效益分析、比较法、抽样调查、专家评议、满意度调查等方法对资金的决策、管理、产出、效益等四个方面进行综合评价。</w:t>
      </w:r>
      <w:r>
        <w:rPr>
          <w:rFonts w:hint="eastAsia" w:ascii="仿宋_GB2312" w:hAnsi="仿宋_GB2312" w:eastAsia="仿宋_GB2312" w:cs="仿宋_GB2312"/>
          <w:kern w:val="2"/>
          <w:sz w:val="32"/>
        </w:rPr>
        <w:t>评价方法主要采用目标预定与实施效果比较法，评价指标分析主要采用定量指标分析，并辅以部分定性分析。</w:t>
      </w:r>
    </w:p>
    <w:p>
      <w:pPr>
        <w:ind w:firstLine="640"/>
        <w:rPr>
          <w:rFonts w:hint="eastAsia" w:ascii="仿宋_GB2312" w:hAnsi="仿宋_GB2312" w:eastAsia="仿宋_GB2312" w:cs="仿宋_GB2312"/>
          <w:color w:val="0000FF"/>
          <w:sz w:val="32"/>
        </w:rPr>
      </w:pPr>
      <w:r>
        <w:rPr>
          <w:rFonts w:hint="eastAsia" w:ascii="仿宋_GB2312" w:hAnsi="仿宋_GB2312" w:eastAsia="仿宋_GB2312" w:cs="仿宋_GB2312"/>
          <w:sz w:val="32"/>
        </w:rPr>
        <w:t>绩效评价结果设置为5个等级，分别为：优（≧90分）、良（80≦X&lt;90）、中（70≦X&lt;80）、低（60≦X&lt;70）、差（&lt;60分）。</w:t>
      </w:r>
    </w:p>
    <w:p>
      <w:pPr>
        <w:ind w:firstLine="640" w:firstLineChars="200"/>
        <w:rPr>
          <w:rFonts w:eastAsia="黑体"/>
          <w:kern w:val="2"/>
          <w:sz w:val="32"/>
        </w:rPr>
      </w:pPr>
      <w:bookmarkStart w:id="58" w:name="_Toc11519031"/>
      <w:bookmarkStart w:id="59" w:name="_Toc6731"/>
      <w:r>
        <w:rPr>
          <w:rFonts w:eastAsia="黑体"/>
          <w:kern w:val="2"/>
          <w:sz w:val="32"/>
        </w:rPr>
        <w:t>三、评价依据</w:t>
      </w:r>
      <w:bookmarkEnd w:id="58"/>
      <w:bookmarkEnd w:id="59"/>
    </w:p>
    <w:p>
      <w:pPr>
        <w:pStyle w:val="4"/>
        <w:ind w:firstLine="672"/>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val="en-US" w:eastAsia="zh-CN"/>
        </w:rPr>
        <w:t xml:space="preserve">1. </w:t>
      </w:r>
      <w:r>
        <w:rPr>
          <w:rFonts w:hint="eastAsia" w:ascii="仿宋_GB2312" w:hAnsi="仿宋_GB2312" w:eastAsia="仿宋_GB2312" w:cs="仿宋_GB2312"/>
          <w:sz w:val="32"/>
          <w:szCs w:val="32"/>
          <w:shd w:val="clear" w:color="auto" w:fill="FFFFFF"/>
        </w:rPr>
        <w:t>《关于印发</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shd w:val="clear" w:color="auto" w:fill="FFFFFF"/>
        </w:rPr>
        <w:t>项目支出绩效评价管理办法</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shd w:val="clear" w:color="auto" w:fill="FFFFFF"/>
        </w:rPr>
        <w:t>的通知》（财预〔2020〕10 号）；</w:t>
      </w:r>
    </w:p>
    <w:p>
      <w:pPr>
        <w:pStyle w:val="4"/>
        <w:ind w:firstLine="672"/>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val="en-US" w:eastAsia="zh-CN"/>
        </w:rPr>
        <w:t xml:space="preserve">2. </w:t>
      </w:r>
      <w:r>
        <w:rPr>
          <w:rFonts w:hint="eastAsia" w:ascii="仿宋_GB2312" w:hAnsi="仿宋_GB2312" w:eastAsia="仿宋_GB2312" w:cs="仿宋_GB2312"/>
          <w:sz w:val="32"/>
          <w:szCs w:val="32"/>
          <w:shd w:val="clear" w:color="auto" w:fill="FFFFFF"/>
        </w:rPr>
        <w:t>《中共广东省委 广东省人民政府关于全面实施预算绩效管理的若干意见》（粤发〔2019〕5号）；</w:t>
      </w:r>
    </w:p>
    <w:p>
      <w:pPr>
        <w:pStyle w:val="4"/>
        <w:ind w:firstLine="672"/>
        <w:rPr>
          <w:rFonts w:hint="eastAsia" w:ascii="仿宋_GB2312" w:hAnsi="仿宋_GB2312" w:eastAsia="仿宋_GB2312" w:cs="仿宋_GB2312"/>
          <w:sz w:val="32"/>
          <w:szCs w:val="32"/>
          <w:shd w:val="clear" w:color="auto" w:fill="FFFFFF"/>
          <w:lang w:eastAsia="zh-CN"/>
        </w:rPr>
      </w:pPr>
      <w:r>
        <w:rPr>
          <w:rFonts w:hint="eastAsia" w:ascii="仿宋_GB2312" w:hAnsi="仿宋_GB2312" w:eastAsia="仿宋_GB2312" w:cs="仿宋_GB2312"/>
          <w:sz w:val="32"/>
          <w:szCs w:val="32"/>
          <w:shd w:val="clear" w:color="auto" w:fill="FFFFFF"/>
        </w:rPr>
        <w:t>3.</w:t>
      </w:r>
      <w:r>
        <w:rPr>
          <w:rFonts w:hint="eastAsia" w:ascii="仿宋_GB2312" w:hAnsi="仿宋_GB2312" w:eastAsia="仿宋_GB2312" w:cs="仿宋_GB2312"/>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《关于探索建立涉农资金统筹整合长效机制的意见》（国发〔2017〕54号）</w:t>
      </w:r>
      <w:r>
        <w:rPr>
          <w:rFonts w:hint="eastAsia" w:ascii="仿宋_GB2312" w:hAnsi="仿宋_GB2312" w:eastAsia="仿宋_GB2312" w:cs="仿宋_GB2312"/>
          <w:sz w:val="32"/>
          <w:szCs w:val="32"/>
          <w:shd w:val="clear" w:color="auto" w:fill="FFFFFF"/>
          <w:lang w:eastAsia="zh-CN"/>
        </w:rPr>
        <w:t>；</w:t>
      </w:r>
    </w:p>
    <w:p>
      <w:pPr>
        <w:pStyle w:val="4"/>
        <w:ind w:firstLine="672"/>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val="en-US" w:eastAsia="zh-CN"/>
        </w:rPr>
        <w:t xml:space="preserve">4. </w:t>
      </w:r>
      <w:r>
        <w:rPr>
          <w:rFonts w:hint="eastAsia" w:ascii="仿宋_GB2312" w:hAnsi="仿宋_GB2312" w:eastAsia="仿宋_GB2312" w:cs="仿宋_GB2312"/>
          <w:sz w:val="32"/>
          <w:shd w:val="clear" w:color="auto" w:fill="FFFFFF"/>
        </w:rPr>
        <w:t>《广东省人民政府关于印发广东省涉农资金统筹整合实施方案（试行）的通知》（粤府〔2018〕123号）</w:t>
      </w:r>
      <w:r>
        <w:rPr>
          <w:rFonts w:hint="eastAsia" w:ascii="仿宋_GB2312" w:hAnsi="仿宋_GB2312" w:eastAsia="仿宋_GB2312" w:cs="仿宋_GB2312"/>
          <w:sz w:val="32"/>
          <w:szCs w:val="32"/>
          <w:shd w:val="clear" w:color="auto" w:fill="FFFFFF"/>
        </w:rPr>
        <w:t>；</w:t>
      </w:r>
    </w:p>
    <w:p>
      <w:pPr>
        <w:widowControl/>
        <w:wordWrap w:val="0"/>
        <w:adjustRightInd w:val="0"/>
        <w:ind w:firstLine="672"/>
        <w:jc w:val="both"/>
        <w:rPr>
          <w:rFonts w:hint="eastAsia" w:ascii="仿宋_GB2312" w:hAnsi="仿宋_GB2312" w:eastAsia="仿宋_GB2312" w:cs="仿宋_GB2312"/>
          <w:sz w:val="32"/>
          <w:shd w:val="clear" w:color="auto" w:fill="FFFFFF"/>
        </w:rPr>
      </w:pPr>
      <w:r>
        <w:rPr>
          <w:rFonts w:hint="eastAsia" w:ascii="仿宋_GB2312" w:hAnsi="仿宋_GB2312" w:eastAsia="仿宋_GB2312" w:cs="仿宋_GB2312"/>
          <w:sz w:val="32"/>
          <w:shd w:val="clear" w:color="auto" w:fill="FFFFFF"/>
          <w:lang w:val="en-US" w:eastAsia="zh-CN"/>
        </w:rPr>
        <w:t>5</w:t>
      </w:r>
      <w:r>
        <w:rPr>
          <w:rFonts w:hint="eastAsia" w:ascii="仿宋_GB2312" w:hAnsi="仿宋_GB2312" w:eastAsia="仿宋_GB2312" w:cs="仿宋_GB2312"/>
          <w:sz w:val="32"/>
          <w:shd w:val="clear" w:color="auto" w:fill="FFFFFF"/>
        </w:rPr>
        <w:t>.</w:t>
      </w:r>
      <w:r>
        <w:rPr>
          <w:rFonts w:hint="eastAsia" w:ascii="仿宋_GB2312" w:hAnsi="仿宋_GB2312" w:eastAsia="仿宋_GB2312" w:cs="仿宋_GB2312"/>
          <w:sz w:val="32"/>
          <w:shd w:val="clear" w:color="auto" w:fill="FFFFFF"/>
          <w:lang w:val="en-US" w:eastAsia="zh-CN"/>
        </w:rPr>
        <w:t xml:space="preserve"> </w:t>
      </w:r>
      <w:r>
        <w:rPr>
          <w:rFonts w:hint="eastAsia" w:ascii="仿宋_GB2312" w:hAnsi="仿宋_GB2312" w:eastAsia="仿宋_GB2312" w:cs="仿宋_GB2312"/>
          <w:sz w:val="32"/>
          <w:shd w:val="clear" w:color="auto" w:fill="FFFFFF"/>
        </w:rPr>
        <w:t>《关于深化涉农资金统筹整合改革的意见》（粤涉农〔2019〕18号）；</w:t>
      </w:r>
    </w:p>
    <w:p>
      <w:pPr>
        <w:ind w:firstLine="640" w:firstLineChars="200"/>
        <w:rPr>
          <w:rFonts w:hint="eastAsia" w:ascii="仿宋_GB2312" w:hAnsi="仿宋_GB2312" w:eastAsia="仿宋_GB2312" w:cs="仿宋_GB2312"/>
          <w:sz w:val="32"/>
          <w:shd w:val="clear" w:color="auto" w:fill="FFFFFF"/>
        </w:rPr>
      </w:pPr>
      <w:r>
        <w:rPr>
          <w:rFonts w:hint="eastAsia" w:ascii="仿宋_GB2312" w:hAnsi="仿宋_GB2312" w:eastAsia="仿宋_GB2312" w:cs="仿宋_GB2312"/>
          <w:sz w:val="32"/>
          <w:shd w:val="clear" w:color="auto" w:fill="FFFFFF"/>
          <w:lang w:val="en-US" w:eastAsia="zh-CN"/>
        </w:rPr>
        <w:t>6</w:t>
      </w:r>
      <w:r>
        <w:rPr>
          <w:rFonts w:hint="eastAsia" w:ascii="仿宋_GB2312" w:hAnsi="仿宋_GB2312" w:eastAsia="仿宋_GB2312" w:cs="仿宋_GB2312"/>
          <w:sz w:val="32"/>
          <w:shd w:val="clear" w:color="auto" w:fill="FFFFFF"/>
        </w:rPr>
        <w:t>.</w:t>
      </w:r>
      <w:r>
        <w:rPr>
          <w:rFonts w:hint="eastAsia" w:ascii="仿宋_GB2312" w:hAnsi="仿宋_GB2312" w:eastAsia="仿宋_GB2312" w:cs="仿宋_GB2312"/>
          <w:sz w:val="32"/>
          <w:shd w:val="clear" w:color="auto" w:fill="FFFFFF"/>
          <w:lang w:val="en-US" w:eastAsia="zh-CN"/>
        </w:rPr>
        <w:t xml:space="preserve"> </w:t>
      </w:r>
      <w:r>
        <w:rPr>
          <w:rFonts w:hint="eastAsia" w:ascii="仿宋_GB2312" w:hAnsi="仿宋_GB2312" w:eastAsia="仿宋_GB2312" w:cs="仿宋_GB2312"/>
          <w:sz w:val="32"/>
          <w:shd w:val="clear" w:color="auto" w:fill="FFFFFF"/>
        </w:rPr>
        <w:t>《广东省涉农资金统筹整合管理办法（2020年修订）》（粤财农〔2020〕106 号）；</w:t>
      </w:r>
    </w:p>
    <w:p>
      <w:pPr>
        <w:ind w:firstLine="640" w:firstLineChars="200"/>
        <w:rPr>
          <w:rFonts w:hint="eastAsia" w:ascii="仿宋_GB2312" w:hAnsi="仿宋_GB2312" w:eastAsia="仿宋_GB2312" w:cs="仿宋_GB2312"/>
          <w:kern w:val="2"/>
          <w:sz w:val="32"/>
        </w:rPr>
      </w:pPr>
      <w:r>
        <w:rPr>
          <w:rFonts w:hint="eastAsia" w:ascii="仿宋_GB2312" w:hAnsi="仿宋_GB2312" w:eastAsia="仿宋_GB2312" w:cs="仿宋_GB2312"/>
          <w:kern w:val="2"/>
          <w:sz w:val="32"/>
          <w:lang w:val="en-US" w:eastAsia="zh-CN"/>
        </w:rPr>
        <w:t>7</w:t>
      </w:r>
      <w:r>
        <w:rPr>
          <w:rFonts w:hint="eastAsia" w:ascii="仿宋_GB2312" w:hAnsi="仿宋_GB2312" w:eastAsia="仿宋_GB2312" w:cs="仿宋_GB2312"/>
          <w:kern w:val="2"/>
          <w:sz w:val="32"/>
        </w:rPr>
        <w:t>.</w:t>
      </w:r>
      <w:r>
        <w:rPr>
          <w:rFonts w:hint="eastAsia" w:ascii="仿宋_GB2312" w:hAnsi="仿宋_GB2312" w:eastAsia="仿宋_GB2312" w:cs="仿宋_GB2312"/>
          <w:kern w:val="2"/>
          <w:sz w:val="32"/>
          <w:lang w:val="en-US" w:eastAsia="zh-CN"/>
        </w:rPr>
        <w:t xml:space="preserve"> </w:t>
      </w:r>
      <w:r>
        <w:rPr>
          <w:rFonts w:hint="eastAsia" w:ascii="仿宋_GB2312" w:hAnsi="仿宋_GB2312" w:eastAsia="仿宋_GB2312" w:cs="仿宋_GB2312"/>
          <w:kern w:val="2"/>
          <w:sz w:val="32"/>
        </w:rPr>
        <w:t>《广东省省级涉农资金绩效管理暂行办法》</w:t>
      </w:r>
      <w:r>
        <w:rPr>
          <w:rFonts w:hint="eastAsia" w:ascii="仿宋_GB2312" w:hAnsi="仿宋_GB2312" w:eastAsia="仿宋_GB2312" w:cs="仿宋_GB2312"/>
          <w:kern w:val="2"/>
          <w:sz w:val="32"/>
          <w:lang w:eastAsia="zh-CN"/>
        </w:rPr>
        <w:t>（</w:t>
      </w:r>
      <w:r>
        <w:rPr>
          <w:rFonts w:hint="eastAsia" w:ascii="仿宋_GB2312" w:hAnsi="仿宋_GB2312" w:eastAsia="仿宋_GB2312" w:cs="仿宋_GB2312"/>
          <w:kern w:val="2"/>
          <w:sz w:val="32"/>
        </w:rPr>
        <w:t>粤涉农办〔2020〕2 号</w:t>
      </w:r>
      <w:r>
        <w:rPr>
          <w:rFonts w:hint="eastAsia" w:ascii="仿宋_GB2312" w:hAnsi="仿宋_GB2312" w:eastAsia="仿宋_GB2312" w:cs="仿宋_GB2312"/>
          <w:kern w:val="2"/>
          <w:sz w:val="32"/>
          <w:lang w:eastAsia="zh-CN"/>
        </w:rPr>
        <w:t>）</w:t>
      </w:r>
      <w:r>
        <w:rPr>
          <w:rFonts w:hint="eastAsia" w:ascii="仿宋_GB2312" w:hAnsi="仿宋_GB2312" w:eastAsia="仿宋_GB2312" w:cs="仿宋_GB2312"/>
          <w:kern w:val="2"/>
          <w:sz w:val="32"/>
        </w:rPr>
        <w:t>；</w:t>
      </w:r>
    </w:p>
    <w:p>
      <w:pPr>
        <w:pStyle w:val="18"/>
        <w:ind w:firstLine="640" w:firstLineChars="200"/>
        <w:rPr>
          <w:rFonts w:hint="eastAsia" w:ascii="仿宋_GB2312" w:hAnsi="仿宋_GB2312" w:eastAsia="仿宋_GB2312" w:cs="仿宋_GB2312"/>
          <w:kern w:val="2"/>
          <w:sz w:val="32"/>
          <w:lang w:val="en-US" w:eastAsia="zh-CN"/>
        </w:rPr>
      </w:pPr>
      <w:r>
        <w:rPr>
          <w:rFonts w:hint="eastAsia" w:ascii="仿宋_GB2312" w:hAnsi="仿宋_GB2312" w:eastAsia="仿宋_GB2312" w:cs="仿宋_GB2312"/>
          <w:kern w:val="2"/>
          <w:sz w:val="32"/>
          <w:lang w:val="en-US" w:eastAsia="zh-CN"/>
        </w:rPr>
        <w:t>8</w:t>
      </w:r>
      <w:r>
        <w:rPr>
          <w:rFonts w:hint="eastAsia" w:ascii="仿宋_GB2312" w:hAnsi="仿宋_GB2312" w:eastAsia="仿宋_GB2312" w:cs="仿宋_GB2312"/>
          <w:kern w:val="2"/>
          <w:sz w:val="32"/>
        </w:rPr>
        <w:t>.</w:t>
      </w:r>
      <w:r>
        <w:rPr>
          <w:rFonts w:hint="eastAsia" w:ascii="仿宋_GB2312" w:hAnsi="仿宋_GB2312" w:eastAsia="仿宋_GB2312" w:cs="仿宋_GB2312"/>
          <w:kern w:val="2"/>
          <w:sz w:val="32"/>
          <w:lang w:val="en-US" w:eastAsia="zh-CN"/>
        </w:rPr>
        <w:t xml:space="preserve"> 《广东省涉农资金统筹整合领导小组办公室关于印发省级涉农资金统筹整合工作指引的通知》（粤涉农办〔2021〕1号）；</w:t>
      </w:r>
    </w:p>
    <w:p>
      <w:pPr>
        <w:pStyle w:val="18"/>
        <w:ind w:firstLine="640" w:firstLineChars="200"/>
        <w:rPr>
          <w:rFonts w:hint="eastAsia" w:ascii="仿宋_GB2312" w:hAnsi="仿宋_GB2312" w:eastAsia="仿宋_GB2312" w:cs="仿宋_GB2312"/>
          <w:kern w:val="2"/>
          <w:sz w:val="32"/>
          <w:lang w:val="en-US" w:eastAsia="zh-CN"/>
        </w:rPr>
      </w:pPr>
      <w:r>
        <w:rPr>
          <w:rFonts w:hint="eastAsia" w:ascii="仿宋_GB2312" w:hAnsi="仿宋_GB2312" w:eastAsia="仿宋_GB2312" w:cs="仿宋_GB2312"/>
          <w:kern w:val="2"/>
          <w:sz w:val="32"/>
          <w:lang w:val="en-US" w:eastAsia="zh-CN"/>
        </w:rPr>
        <w:t>9. 《广东省乡村振兴驻镇帮镇扶村资金筹集使用监管办法》的通知（粤财农〔2021〕126号）；</w:t>
      </w:r>
    </w:p>
    <w:p>
      <w:pPr>
        <w:pStyle w:val="18"/>
        <w:ind w:firstLine="640" w:firstLineChars="200"/>
        <w:rPr>
          <w:rFonts w:hint="default" w:ascii="仿宋_GB2312" w:hAnsi="仿宋_GB2312" w:eastAsia="仿宋_GB2312" w:cs="仿宋_GB2312"/>
          <w:kern w:val="2"/>
          <w:sz w:val="32"/>
          <w:lang w:val="en-US" w:eastAsia="zh-CN"/>
        </w:rPr>
      </w:pPr>
      <w:r>
        <w:rPr>
          <w:rFonts w:hint="eastAsia" w:ascii="仿宋_GB2312" w:hAnsi="仿宋_GB2312" w:eastAsia="仿宋_GB2312" w:cs="仿宋_GB2312"/>
          <w:kern w:val="2"/>
          <w:sz w:val="32"/>
          <w:lang w:val="en-US" w:eastAsia="zh-CN"/>
        </w:rPr>
        <w:t>10. 《广东省人民政府办公厅关于进一步加强涉农资金统筹整合的实施意见》（粤府办〔2023〕18号）；</w:t>
      </w:r>
    </w:p>
    <w:p>
      <w:pPr>
        <w:pStyle w:val="18"/>
        <w:ind w:firstLine="640" w:firstLineChars="200"/>
        <w:rPr>
          <w:rFonts w:hint="eastAsia" w:ascii="仿宋_GB2312" w:hAnsi="仿宋_GB2312" w:eastAsia="仿宋_GB2312" w:cs="仿宋_GB2312"/>
          <w:kern w:val="2"/>
          <w:sz w:val="32"/>
          <w:lang w:eastAsia="zh-CN"/>
        </w:rPr>
      </w:pPr>
      <w:r>
        <w:rPr>
          <w:rFonts w:hint="eastAsia" w:ascii="仿宋_GB2312" w:hAnsi="仿宋_GB2312" w:eastAsia="仿宋_GB2312" w:cs="仿宋_GB2312"/>
          <w:kern w:val="2"/>
          <w:sz w:val="32"/>
          <w:lang w:val="en-US" w:eastAsia="zh-CN"/>
        </w:rPr>
        <w:t xml:space="preserve">11. </w:t>
      </w:r>
      <w:r>
        <w:rPr>
          <w:rFonts w:hint="eastAsia" w:ascii="仿宋_GB2312" w:hAnsi="仿宋_GB2312" w:eastAsia="仿宋_GB2312" w:cs="仿宋_GB2312"/>
          <w:kern w:val="2"/>
          <w:sz w:val="32"/>
        </w:rPr>
        <w:t>《韶关市涉农资金统筹整合实施方案》（韶财农〔2018〕36号）</w:t>
      </w:r>
      <w:r>
        <w:rPr>
          <w:rFonts w:hint="eastAsia" w:ascii="仿宋_GB2312" w:hAnsi="仿宋_GB2312" w:eastAsia="仿宋_GB2312" w:cs="仿宋_GB2312"/>
          <w:kern w:val="2"/>
          <w:sz w:val="32"/>
          <w:lang w:eastAsia="zh-CN"/>
        </w:rPr>
        <w:t>；</w:t>
      </w:r>
    </w:p>
    <w:p>
      <w:pPr>
        <w:pStyle w:val="18"/>
        <w:ind w:firstLine="640" w:firstLineChars="200"/>
        <w:rPr>
          <w:rFonts w:hint="eastAsia" w:ascii="仿宋_GB2312" w:hAnsi="仿宋_GB2312" w:eastAsia="仿宋_GB2312" w:cs="仿宋_GB2312"/>
          <w:kern w:val="2"/>
          <w:sz w:val="32"/>
        </w:rPr>
      </w:pPr>
      <w:r>
        <w:rPr>
          <w:rFonts w:hint="eastAsia" w:ascii="仿宋_GB2312" w:hAnsi="仿宋_GB2312" w:eastAsia="仿宋_GB2312" w:cs="仿宋_GB2312"/>
          <w:kern w:val="2"/>
          <w:sz w:val="32"/>
          <w:lang w:val="en-US" w:eastAsia="zh-CN"/>
        </w:rPr>
        <w:t xml:space="preserve">12. </w:t>
      </w:r>
      <w:r>
        <w:rPr>
          <w:rFonts w:hint="eastAsia" w:ascii="仿宋_GB2312" w:hAnsi="仿宋_GB2312" w:eastAsia="仿宋_GB2312" w:cs="仿宋_GB2312"/>
          <w:kern w:val="2"/>
          <w:sz w:val="32"/>
        </w:rPr>
        <w:t>《韶关市曲江区涉农资金统筹整合实施方案》（韶曲府办〔2018〕37号）；</w:t>
      </w:r>
    </w:p>
    <w:p>
      <w:pPr>
        <w:pStyle w:val="18"/>
        <w:ind w:firstLine="640" w:firstLineChars="200"/>
        <w:rPr>
          <w:rFonts w:hint="eastAsia" w:ascii="仿宋_GB2312" w:hAnsi="仿宋_GB2312" w:eastAsia="仿宋_GB2312" w:cs="仿宋_GB2312"/>
          <w:kern w:val="2"/>
          <w:sz w:val="32"/>
        </w:rPr>
      </w:pPr>
      <w:r>
        <w:rPr>
          <w:rFonts w:hint="eastAsia" w:ascii="仿宋_GB2312" w:hAnsi="仿宋_GB2312" w:eastAsia="仿宋_GB2312" w:cs="仿宋_GB2312"/>
          <w:kern w:val="2"/>
          <w:sz w:val="32"/>
        </w:rPr>
        <w:t>1</w:t>
      </w:r>
      <w:r>
        <w:rPr>
          <w:rFonts w:hint="eastAsia" w:ascii="仿宋_GB2312" w:hAnsi="仿宋_GB2312" w:eastAsia="仿宋_GB2312" w:cs="仿宋_GB2312"/>
          <w:kern w:val="2"/>
          <w:sz w:val="32"/>
          <w:lang w:val="en-US" w:eastAsia="zh-CN"/>
        </w:rPr>
        <w:t>3</w:t>
      </w:r>
      <w:r>
        <w:rPr>
          <w:rFonts w:hint="eastAsia" w:ascii="仿宋_GB2312" w:hAnsi="仿宋_GB2312" w:eastAsia="仿宋_GB2312" w:cs="仿宋_GB2312"/>
          <w:kern w:val="2"/>
          <w:sz w:val="32"/>
        </w:rPr>
        <w:t>.</w:t>
      </w:r>
      <w:r>
        <w:rPr>
          <w:rFonts w:hint="eastAsia" w:ascii="仿宋_GB2312" w:hAnsi="仿宋_GB2312" w:eastAsia="仿宋_GB2312" w:cs="仿宋_GB2312"/>
          <w:kern w:val="2"/>
          <w:sz w:val="32"/>
          <w:lang w:val="en-US" w:eastAsia="zh-CN"/>
        </w:rPr>
        <w:t xml:space="preserve"> </w:t>
      </w:r>
      <w:r>
        <w:rPr>
          <w:rFonts w:hint="eastAsia" w:ascii="仿宋_GB2312" w:hAnsi="仿宋_GB2312" w:eastAsia="仿宋_GB2312" w:cs="仿宋_GB2312"/>
          <w:kern w:val="2"/>
          <w:sz w:val="32"/>
        </w:rPr>
        <w:t>《韶关市曲江区涉农项目和资金管理实施细则》（韶曲府办〔2020〕21号）；</w:t>
      </w:r>
    </w:p>
    <w:p>
      <w:pPr>
        <w:pStyle w:val="18"/>
        <w:ind w:firstLine="640" w:firstLineChars="200"/>
        <w:rPr>
          <w:rFonts w:hint="eastAsia" w:ascii="仿宋_GB2312" w:hAnsi="仿宋_GB2312" w:eastAsia="仿宋_GB2312" w:cs="仿宋_GB2312"/>
          <w:kern w:val="2"/>
          <w:sz w:val="32"/>
        </w:rPr>
      </w:pPr>
      <w:r>
        <w:rPr>
          <w:rFonts w:hint="eastAsia" w:ascii="仿宋_GB2312" w:hAnsi="仿宋_GB2312" w:eastAsia="仿宋_GB2312" w:cs="仿宋_GB2312"/>
          <w:sz w:val="32"/>
          <w:shd w:val="clear" w:color="auto" w:fill="FFFFFF"/>
          <w:lang w:val="en-US" w:eastAsia="zh-CN"/>
        </w:rPr>
        <w:t>14</w:t>
      </w:r>
      <w:r>
        <w:rPr>
          <w:rFonts w:hint="eastAsia" w:ascii="仿宋_GB2312" w:hAnsi="仿宋_GB2312" w:eastAsia="仿宋_GB2312" w:cs="仿宋_GB2312"/>
          <w:sz w:val="32"/>
          <w:shd w:val="clear" w:color="auto" w:fill="FFFFFF"/>
        </w:rPr>
        <w:t>.</w:t>
      </w:r>
      <w:r>
        <w:rPr>
          <w:rFonts w:hint="eastAsia" w:ascii="仿宋_GB2312" w:hAnsi="仿宋_GB2312" w:eastAsia="仿宋_GB2312" w:cs="仿宋_GB2312"/>
          <w:sz w:val="32"/>
          <w:shd w:val="clear" w:color="auto" w:fill="FFFFFF"/>
          <w:lang w:val="en-US" w:eastAsia="zh-CN"/>
        </w:rPr>
        <w:t xml:space="preserve"> </w:t>
      </w:r>
      <w:r>
        <w:rPr>
          <w:rFonts w:hint="eastAsia" w:ascii="仿宋_GB2312" w:hAnsi="仿宋_GB2312" w:eastAsia="仿宋_GB2312" w:cs="仿宋_GB2312"/>
          <w:sz w:val="32"/>
          <w:shd w:val="clear" w:color="auto" w:fill="FFFFFF"/>
        </w:rPr>
        <w:t>《韶关市曲江区乡村振兴驻镇帮镇扶村资金筹集使用监管细则》（韶曲财〔2021〕57号）；</w:t>
      </w:r>
    </w:p>
    <w:p>
      <w:pPr>
        <w:ind w:firstLine="640" w:firstLineChars="200"/>
        <w:rPr>
          <w:rFonts w:eastAsia="仿宋_GB2312"/>
          <w:kern w:val="2"/>
          <w:sz w:val="32"/>
        </w:rPr>
      </w:pPr>
      <w:r>
        <w:rPr>
          <w:rFonts w:hint="eastAsia" w:ascii="仿宋_GB2312" w:hAnsi="仿宋_GB2312" w:eastAsia="仿宋_GB2312" w:cs="仿宋_GB2312"/>
          <w:kern w:val="2"/>
          <w:sz w:val="32"/>
        </w:rPr>
        <w:t>1</w:t>
      </w:r>
      <w:r>
        <w:rPr>
          <w:rFonts w:hint="eastAsia" w:ascii="仿宋_GB2312" w:hAnsi="仿宋_GB2312" w:eastAsia="仿宋_GB2312" w:cs="仿宋_GB2312"/>
          <w:kern w:val="2"/>
          <w:sz w:val="32"/>
          <w:lang w:val="en-US" w:eastAsia="zh-CN"/>
        </w:rPr>
        <w:t>5</w:t>
      </w:r>
      <w:r>
        <w:rPr>
          <w:rFonts w:hint="eastAsia" w:ascii="仿宋_GB2312" w:hAnsi="仿宋_GB2312" w:eastAsia="仿宋_GB2312" w:cs="仿宋_GB2312"/>
          <w:kern w:val="2"/>
          <w:sz w:val="32"/>
        </w:rPr>
        <w:t>.</w:t>
      </w:r>
      <w:r>
        <w:rPr>
          <w:rFonts w:hint="eastAsia" w:ascii="仿宋_GB2312" w:hAnsi="仿宋_GB2312" w:eastAsia="仿宋_GB2312" w:cs="仿宋_GB2312"/>
          <w:kern w:val="2"/>
          <w:sz w:val="32"/>
          <w:lang w:val="en-US" w:eastAsia="zh-CN"/>
        </w:rPr>
        <w:t xml:space="preserve"> 《</w:t>
      </w:r>
      <w:r>
        <w:rPr>
          <w:rFonts w:hint="eastAsia" w:ascii="仿宋_GB2312" w:hAnsi="仿宋_GB2312" w:eastAsia="仿宋_GB2312" w:cs="仿宋_GB2312"/>
          <w:kern w:val="2"/>
          <w:sz w:val="32"/>
        </w:rPr>
        <w:t>韶关市曲江区人民政府关于印发</w:t>
      </w:r>
      <w:r>
        <w:rPr>
          <w:rFonts w:hint="eastAsia" w:ascii="仿宋_GB2312" w:hAnsi="仿宋_GB2312" w:eastAsia="仿宋_GB2312" w:cs="仿宋_GB2312"/>
          <w:kern w:val="2"/>
          <w:sz w:val="32"/>
          <w:lang w:val="en-US" w:eastAsia="zh-CN"/>
        </w:rPr>
        <w:t>〈</w:t>
      </w:r>
      <w:r>
        <w:rPr>
          <w:rFonts w:hint="eastAsia" w:ascii="仿宋_GB2312" w:hAnsi="仿宋_GB2312" w:eastAsia="仿宋_GB2312" w:cs="仿宋_GB2312"/>
          <w:kern w:val="2"/>
          <w:sz w:val="32"/>
        </w:rPr>
        <w:t>韶关市曲江区政府投资工程建设项目管理办法</w:t>
      </w:r>
      <w:r>
        <w:rPr>
          <w:rFonts w:hint="eastAsia" w:ascii="仿宋_GB2312" w:hAnsi="仿宋_GB2312" w:eastAsia="仿宋_GB2312" w:cs="仿宋_GB2312"/>
          <w:kern w:val="2"/>
          <w:sz w:val="32"/>
          <w:lang w:val="en-US" w:eastAsia="zh-CN"/>
        </w:rPr>
        <w:t>〉</w:t>
      </w:r>
      <w:r>
        <w:rPr>
          <w:rFonts w:hint="eastAsia" w:ascii="仿宋_GB2312" w:hAnsi="仿宋_GB2312" w:eastAsia="仿宋_GB2312" w:cs="仿宋_GB2312"/>
          <w:kern w:val="2"/>
          <w:sz w:val="32"/>
        </w:rPr>
        <w:t>的通知</w:t>
      </w:r>
      <w:r>
        <w:rPr>
          <w:rFonts w:hint="eastAsia" w:ascii="仿宋_GB2312" w:hAnsi="仿宋_GB2312" w:eastAsia="仿宋_GB2312" w:cs="仿宋_GB2312"/>
          <w:kern w:val="2"/>
          <w:sz w:val="32"/>
          <w:lang w:val="en-US" w:eastAsia="zh-CN"/>
        </w:rPr>
        <w:t>》</w:t>
      </w:r>
      <w:r>
        <w:rPr>
          <w:rFonts w:hint="eastAsia" w:ascii="仿宋_GB2312" w:hAnsi="仿宋_GB2312" w:eastAsia="仿宋_GB2312" w:cs="仿宋_GB2312"/>
          <w:kern w:val="2"/>
          <w:sz w:val="32"/>
        </w:rPr>
        <w:t>（韶曲府〔2022〕52号）</w:t>
      </w:r>
      <w:r>
        <w:rPr>
          <w:rFonts w:hint="eastAsia" w:ascii="仿宋_GB2312" w:hAnsi="仿宋_GB2312" w:eastAsia="仿宋_GB2312" w:cs="仿宋_GB2312"/>
          <w:kern w:val="2"/>
          <w:sz w:val="32"/>
          <w:lang w:eastAsia="zh-CN"/>
        </w:rPr>
        <w:t>。</w:t>
      </w:r>
    </w:p>
    <w:p>
      <w:pPr>
        <w:ind w:firstLine="640" w:firstLineChars="200"/>
        <w:rPr>
          <w:rFonts w:eastAsia="黑体"/>
          <w:kern w:val="2"/>
          <w:sz w:val="32"/>
        </w:rPr>
      </w:pPr>
      <w:bookmarkStart w:id="60" w:name="_Toc11908"/>
      <w:bookmarkStart w:id="61" w:name="_Toc11519032"/>
      <w:r>
        <w:rPr>
          <w:rFonts w:eastAsia="黑体"/>
          <w:kern w:val="2"/>
          <w:sz w:val="32"/>
        </w:rPr>
        <w:t>四、评价指标体系</w:t>
      </w:r>
      <w:bookmarkEnd w:id="60"/>
      <w:bookmarkEnd w:id="61"/>
    </w:p>
    <w:p>
      <w:pPr>
        <w:ind w:firstLine="640" w:firstLineChars="200"/>
        <w:rPr>
          <w:rFonts w:hint="eastAsia" w:ascii="仿宋_GB2312" w:hAnsi="仿宋_GB2312" w:eastAsia="仿宋_GB2312" w:cs="仿宋_GB2312"/>
          <w:kern w:val="2"/>
          <w:sz w:val="32"/>
        </w:rPr>
      </w:pPr>
      <w:r>
        <w:rPr>
          <w:rFonts w:hint="eastAsia" w:ascii="仿宋_GB2312" w:hAnsi="仿宋_GB2312" w:eastAsia="仿宋_GB2312" w:cs="仿宋_GB2312"/>
          <w:kern w:val="2"/>
          <w:sz w:val="32"/>
        </w:rPr>
        <w:t>根据《广东省省级财政绩效评价指南》中项目支出的评价模板以及关于共性、个性指标设置的要求，结合</w:t>
      </w:r>
      <w:r>
        <w:rPr>
          <w:rFonts w:hint="eastAsia" w:ascii="仿宋_GB2312" w:hAnsi="仿宋_GB2312" w:eastAsia="仿宋_GB2312" w:cs="仿宋_GB2312"/>
          <w:kern w:val="2"/>
          <w:sz w:val="32"/>
          <w:lang w:eastAsia="zh-CN"/>
        </w:rPr>
        <w:t>2023</w:t>
      </w:r>
      <w:r>
        <w:rPr>
          <w:rFonts w:hint="eastAsia" w:ascii="仿宋_GB2312" w:hAnsi="仿宋_GB2312" w:eastAsia="仿宋_GB2312" w:cs="仿宋_GB2312"/>
          <w:kern w:val="2"/>
          <w:sz w:val="32"/>
        </w:rPr>
        <w:t>年韶关市曲江区省级涉农统筹整合转移支付资金区域绩效目标</w:t>
      </w:r>
      <w:r>
        <w:rPr>
          <w:rFonts w:hint="eastAsia" w:ascii="仿宋_GB2312" w:hAnsi="仿宋_GB2312" w:eastAsia="仿宋_GB2312" w:cs="仿宋_GB2312"/>
          <w:kern w:val="2"/>
          <w:sz w:val="32"/>
          <w:lang w:val="en-US" w:eastAsia="zh-CN"/>
        </w:rPr>
        <w:t>和该区</w:t>
      </w:r>
      <w:r>
        <w:rPr>
          <w:rFonts w:hint="eastAsia" w:ascii="仿宋_GB2312" w:hAnsi="仿宋_GB2312" w:eastAsia="仿宋_GB2312" w:cs="仿宋_GB2312"/>
          <w:kern w:val="2"/>
          <w:sz w:val="32"/>
          <w:lang w:eastAsia="zh-CN"/>
        </w:rPr>
        <w:t>2023</w:t>
      </w:r>
      <w:r>
        <w:rPr>
          <w:rFonts w:hint="eastAsia" w:ascii="仿宋_GB2312" w:hAnsi="仿宋_GB2312" w:eastAsia="仿宋_GB2312" w:cs="仿宋_GB2312"/>
          <w:kern w:val="2"/>
          <w:sz w:val="32"/>
        </w:rPr>
        <w:t>年涉农资金统筹整合</w:t>
      </w:r>
      <w:r>
        <w:rPr>
          <w:rFonts w:hint="eastAsia" w:ascii="仿宋_GB2312" w:hAnsi="仿宋_GB2312" w:eastAsia="仿宋_GB2312" w:cs="仿宋_GB2312"/>
          <w:kern w:val="2"/>
          <w:sz w:val="32"/>
          <w:lang w:val="en-US" w:eastAsia="zh-CN"/>
        </w:rPr>
        <w:t>工作</w:t>
      </w:r>
      <w:r>
        <w:rPr>
          <w:rFonts w:hint="eastAsia" w:ascii="仿宋_GB2312" w:hAnsi="仿宋_GB2312" w:eastAsia="仿宋_GB2312" w:cs="仿宋_GB2312"/>
          <w:kern w:val="2"/>
          <w:sz w:val="32"/>
        </w:rPr>
        <w:t>的</w:t>
      </w:r>
      <w:r>
        <w:rPr>
          <w:rFonts w:hint="eastAsia" w:ascii="仿宋_GB2312" w:hAnsi="仿宋_GB2312" w:eastAsia="仿宋_GB2312" w:cs="仿宋_GB2312"/>
          <w:kern w:val="2"/>
          <w:sz w:val="32"/>
          <w:lang w:val="en-US" w:eastAsia="zh-CN"/>
        </w:rPr>
        <w:t>实际</w:t>
      </w:r>
      <w:r>
        <w:rPr>
          <w:rFonts w:hint="eastAsia" w:ascii="仿宋_GB2312" w:hAnsi="仿宋_GB2312" w:eastAsia="仿宋_GB2312" w:cs="仿宋_GB2312"/>
          <w:kern w:val="2"/>
          <w:sz w:val="32"/>
        </w:rPr>
        <w:t>，以资金使用结果为导向，确定评价内容并相应选设指标及权重，评价指标体系分为</w:t>
      </w:r>
      <w:r>
        <w:rPr>
          <w:rFonts w:hint="eastAsia" w:ascii="仿宋_GB2312" w:hAnsi="仿宋_GB2312" w:eastAsia="仿宋_GB2312" w:cs="仿宋_GB2312"/>
          <w:kern w:val="2"/>
          <w:sz w:val="32"/>
          <w:lang w:val="en-US" w:eastAsia="zh-CN"/>
        </w:rPr>
        <w:t>决策</w:t>
      </w:r>
      <w:r>
        <w:rPr>
          <w:rFonts w:hint="eastAsia" w:ascii="仿宋_GB2312" w:hAnsi="仿宋_GB2312" w:eastAsia="仿宋_GB2312" w:cs="仿宋_GB2312"/>
          <w:kern w:val="2"/>
          <w:sz w:val="32"/>
        </w:rPr>
        <w:t>（20%）、</w:t>
      </w:r>
      <w:r>
        <w:rPr>
          <w:rFonts w:hint="eastAsia" w:ascii="仿宋_GB2312" w:hAnsi="仿宋_GB2312" w:eastAsia="仿宋_GB2312" w:cs="仿宋_GB2312"/>
          <w:kern w:val="2"/>
          <w:sz w:val="32"/>
          <w:lang w:val="en-US" w:eastAsia="zh-CN"/>
        </w:rPr>
        <w:t>管理</w:t>
      </w:r>
      <w:r>
        <w:rPr>
          <w:rFonts w:hint="eastAsia" w:ascii="仿宋_GB2312" w:hAnsi="仿宋_GB2312" w:eastAsia="仿宋_GB2312" w:cs="仿宋_GB2312"/>
          <w:kern w:val="2"/>
          <w:sz w:val="32"/>
        </w:rPr>
        <w:t>（20%）、产出（30%）及效益（30%）4个一级指标，8个二级指标、14个三级指标（详见附件2）。</w:t>
      </w:r>
    </w:p>
    <w:p>
      <w:pPr>
        <w:numPr>
          <w:ilvl w:val="0"/>
          <w:numId w:val="2"/>
        </w:numPr>
        <w:ind w:firstLine="640"/>
        <w:rPr>
          <w:rFonts w:hint="eastAsia" w:eastAsia="仿宋_GB2312"/>
          <w:kern w:val="2"/>
          <w:sz w:val="32"/>
          <w:lang w:val="en-US" w:eastAsia="zh-CN"/>
        </w:rPr>
      </w:pPr>
      <w:r>
        <w:rPr>
          <w:rFonts w:hint="eastAsia" w:eastAsia="仿宋_GB2312"/>
          <w:kern w:val="2"/>
          <w:sz w:val="32"/>
          <w:lang w:val="en-US" w:eastAsia="zh-CN"/>
        </w:rPr>
        <w:t>决策</w:t>
      </w:r>
    </w:p>
    <w:p>
      <w:pPr>
        <w:numPr>
          <w:ilvl w:val="0"/>
          <w:numId w:val="0"/>
        </w:numPr>
        <w:ind w:firstLine="640" w:firstLineChars="200"/>
        <w:rPr>
          <w:rFonts w:eastAsia="仿宋_GB2312"/>
          <w:sz w:val="32"/>
        </w:rPr>
      </w:pPr>
      <w:r>
        <w:rPr>
          <w:rFonts w:hint="eastAsia" w:eastAsia="仿宋_GB2312"/>
          <w:sz w:val="32"/>
          <w:lang w:val="en-US" w:eastAsia="zh-CN"/>
        </w:rPr>
        <w:t>该部分</w:t>
      </w:r>
      <w:r>
        <w:rPr>
          <w:rFonts w:eastAsia="仿宋_GB2312"/>
          <w:sz w:val="32"/>
        </w:rPr>
        <w:t>评价的主要内容是</w:t>
      </w:r>
      <w:r>
        <w:rPr>
          <w:rFonts w:hint="eastAsia" w:eastAsia="仿宋_GB2312"/>
          <w:sz w:val="32"/>
        </w:rPr>
        <w:t>涉农资金安排的项目是否经过充分论证</w:t>
      </w:r>
      <w:r>
        <w:rPr>
          <w:rFonts w:hint="eastAsia" w:eastAsia="仿宋_GB2312"/>
          <w:sz w:val="32"/>
          <w:lang w:eastAsia="zh-CN"/>
        </w:rPr>
        <w:t>；</w:t>
      </w:r>
      <w:r>
        <w:rPr>
          <w:rFonts w:eastAsia="仿宋_GB2312"/>
          <w:sz w:val="32"/>
        </w:rPr>
        <w:t>绩效目标的设置是否</w:t>
      </w:r>
      <w:r>
        <w:rPr>
          <w:rFonts w:hint="eastAsia" w:eastAsia="仿宋_GB2312"/>
          <w:sz w:val="32"/>
          <w:lang w:val="en-US" w:eastAsia="zh-CN"/>
        </w:rPr>
        <w:t>完整、合理、可衡量</w:t>
      </w:r>
      <w:r>
        <w:rPr>
          <w:rFonts w:hint="eastAsia" w:eastAsia="仿宋_GB2312"/>
          <w:sz w:val="32"/>
          <w:lang w:eastAsia="zh-CN"/>
        </w:rPr>
        <w:t>；</w:t>
      </w:r>
      <w:r>
        <w:rPr>
          <w:rFonts w:eastAsia="仿宋_GB2312"/>
          <w:sz w:val="32"/>
        </w:rPr>
        <w:t>项目在实施过程中，各项保障措施、</w:t>
      </w:r>
      <w:r>
        <w:rPr>
          <w:rFonts w:hint="eastAsia" w:eastAsia="仿宋_GB2312"/>
          <w:sz w:val="32"/>
          <w:lang w:val="en-US" w:eastAsia="zh-CN"/>
        </w:rPr>
        <w:t>管理</w:t>
      </w:r>
      <w:r>
        <w:rPr>
          <w:rFonts w:eastAsia="仿宋_GB2312"/>
          <w:sz w:val="32"/>
        </w:rPr>
        <w:t>制度是否完善，计划</w:t>
      </w:r>
      <w:r>
        <w:rPr>
          <w:rFonts w:hint="eastAsia" w:eastAsia="仿宋_GB2312"/>
          <w:sz w:val="32"/>
          <w:lang w:val="en-US" w:eastAsia="zh-CN"/>
        </w:rPr>
        <w:t>安排</w:t>
      </w:r>
      <w:r>
        <w:rPr>
          <w:rFonts w:eastAsia="仿宋_GB2312"/>
          <w:sz w:val="32"/>
        </w:rPr>
        <w:t>是否合理</w:t>
      </w:r>
      <w:r>
        <w:rPr>
          <w:rFonts w:hint="eastAsia" w:eastAsia="仿宋_GB2312"/>
          <w:sz w:val="32"/>
          <w:lang w:eastAsia="zh-CN"/>
        </w:rPr>
        <w:t>；</w:t>
      </w:r>
      <w:r>
        <w:rPr>
          <w:rFonts w:hint="eastAsia" w:eastAsia="仿宋_GB2312"/>
          <w:sz w:val="32"/>
          <w:lang w:val="en-US" w:eastAsia="zh-CN"/>
        </w:rPr>
        <w:t>项目</w:t>
      </w:r>
      <w:r>
        <w:rPr>
          <w:rFonts w:hint="eastAsia" w:eastAsia="仿宋_GB2312"/>
          <w:sz w:val="32"/>
        </w:rPr>
        <w:t>资</w:t>
      </w:r>
      <w:r>
        <w:rPr>
          <w:rFonts w:hint="eastAsia" w:eastAsia="仿宋_GB2312"/>
          <w:sz w:val="32"/>
          <w:lang w:val="en-US" w:eastAsia="zh-CN"/>
        </w:rPr>
        <w:t>金的</w:t>
      </w:r>
      <w:r>
        <w:rPr>
          <w:rFonts w:hint="eastAsia" w:eastAsia="仿宋_GB2312"/>
          <w:sz w:val="32"/>
        </w:rPr>
        <w:t>分配是否</w:t>
      </w:r>
      <w:r>
        <w:rPr>
          <w:rFonts w:hint="eastAsia" w:eastAsia="仿宋_GB2312"/>
          <w:sz w:val="32"/>
          <w:lang w:val="en-US" w:eastAsia="zh-CN"/>
        </w:rPr>
        <w:t>合理</w:t>
      </w:r>
      <w:r>
        <w:rPr>
          <w:rFonts w:hint="eastAsia" w:eastAsia="仿宋_GB2312"/>
          <w:sz w:val="32"/>
          <w:lang w:eastAsia="zh-CN"/>
        </w:rPr>
        <w:t>，</w:t>
      </w:r>
      <w:r>
        <w:rPr>
          <w:rFonts w:hint="eastAsia" w:eastAsia="仿宋_GB2312"/>
          <w:sz w:val="32"/>
        </w:rPr>
        <w:t>下达</w:t>
      </w:r>
      <w:r>
        <w:rPr>
          <w:rFonts w:hint="eastAsia" w:eastAsia="仿宋_GB2312"/>
          <w:sz w:val="32"/>
          <w:lang w:val="en-US" w:eastAsia="zh-CN"/>
        </w:rPr>
        <w:t>是否足额、及时</w:t>
      </w:r>
      <w:r>
        <w:rPr>
          <w:rFonts w:eastAsia="仿宋_GB2312"/>
          <w:sz w:val="32"/>
        </w:rPr>
        <w:t>等。</w:t>
      </w:r>
    </w:p>
    <w:p>
      <w:pPr>
        <w:ind w:firstLine="640" w:firstLineChars="200"/>
        <w:rPr>
          <w:rFonts w:hint="eastAsia" w:eastAsia="仿宋_GB2312"/>
          <w:kern w:val="2"/>
          <w:sz w:val="32"/>
          <w:lang w:eastAsia="zh-CN"/>
        </w:rPr>
      </w:pPr>
      <w:r>
        <w:rPr>
          <w:rFonts w:hint="eastAsia" w:eastAsia="仿宋_GB2312"/>
          <w:kern w:val="2"/>
          <w:sz w:val="32"/>
        </w:rPr>
        <w:t>（二）</w:t>
      </w:r>
      <w:r>
        <w:rPr>
          <w:rFonts w:hint="eastAsia" w:eastAsia="仿宋_GB2312"/>
          <w:kern w:val="2"/>
          <w:sz w:val="32"/>
          <w:lang w:val="en-US" w:eastAsia="zh-CN"/>
        </w:rPr>
        <w:t>管理</w:t>
      </w:r>
    </w:p>
    <w:p>
      <w:pPr>
        <w:ind w:firstLine="640" w:firstLineChars="200"/>
        <w:rPr>
          <w:rFonts w:hint="eastAsia" w:ascii="仿宋_GB2312" w:hAnsi="仿宋_GB2312" w:eastAsia="仿宋_GB2312" w:cs="仿宋_GB2312"/>
          <w:kern w:val="2"/>
          <w:sz w:val="32"/>
        </w:rPr>
      </w:pPr>
      <w:r>
        <w:rPr>
          <w:rFonts w:hint="eastAsia" w:ascii="仿宋_GB2312" w:hAnsi="仿宋_GB2312" w:eastAsia="仿宋_GB2312" w:cs="仿宋_GB2312"/>
          <w:sz w:val="32"/>
          <w:lang w:val="en-US" w:eastAsia="zh-CN"/>
        </w:rPr>
        <w:t>该部分</w:t>
      </w:r>
      <w:r>
        <w:rPr>
          <w:rFonts w:hint="eastAsia" w:ascii="仿宋_GB2312" w:hAnsi="仿宋_GB2312" w:eastAsia="仿宋_GB2312" w:cs="仿宋_GB2312"/>
          <w:sz w:val="32"/>
        </w:rPr>
        <w:t>主要是评价曲江区</w:t>
      </w:r>
      <w:r>
        <w:rPr>
          <w:rFonts w:hint="eastAsia" w:ascii="仿宋_GB2312" w:hAnsi="仿宋_GB2312" w:eastAsia="仿宋_GB2312" w:cs="仿宋_GB2312"/>
          <w:sz w:val="32"/>
          <w:lang w:eastAsia="zh-CN"/>
        </w:rPr>
        <w:t>2023</w:t>
      </w:r>
      <w:r>
        <w:rPr>
          <w:rFonts w:hint="eastAsia" w:ascii="仿宋_GB2312" w:hAnsi="仿宋_GB2312" w:eastAsia="仿宋_GB2312" w:cs="仿宋_GB2312"/>
          <w:sz w:val="32"/>
        </w:rPr>
        <w:t>年省级涉农转移支付资金</w:t>
      </w:r>
      <w:r>
        <w:rPr>
          <w:rFonts w:hint="eastAsia" w:ascii="仿宋_GB2312" w:hAnsi="仿宋_GB2312" w:eastAsia="仿宋_GB2312" w:cs="仿宋_GB2312"/>
          <w:sz w:val="32"/>
          <w:lang w:val="en-US" w:eastAsia="zh-CN"/>
        </w:rPr>
        <w:t>在</w:t>
      </w:r>
      <w:r>
        <w:rPr>
          <w:rFonts w:hint="eastAsia" w:ascii="仿宋_GB2312" w:hAnsi="仿宋_GB2312" w:eastAsia="仿宋_GB2312" w:cs="仿宋_GB2312"/>
          <w:sz w:val="32"/>
        </w:rPr>
        <w:t>使用过程中，是否按照</w:t>
      </w:r>
      <w:r>
        <w:rPr>
          <w:rFonts w:hint="eastAsia" w:ascii="仿宋_GB2312" w:hAnsi="仿宋_GB2312" w:eastAsia="仿宋_GB2312" w:cs="仿宋_GB2312"/>
          <w:sz w:val="32"/>
          <w:shd w:val="clear" w:color="auto" w:fill="FFFFFF"/>
        </w:rPr>
        <w:t>《广东省涉农资金统筹整合管理办法（2020年修订）》（粤财农〔2020〕106 号）</w:t>
      </w:r>
      <w:r>
        <w:rPr>
          <w:rFonts w:hint="eastAsia" w:ascii="仿宋_GB2312" w:hAnsi="仿宋_GB2312" w:eastAsia="仿宋_GB2312" w:cs="仿宋_GB2312"/>
          <w:sz w:val="32"/>
          <w:shd w:val="clear" w:color="auto" w:fill="FFFFFF"/>
          <w:lang w:val="en-US" w:eastAsia="zh-CN"/>
        </w:rPr>
        <w:t>和</w:t>
      </w:r>
      <w:r>
        <w:rPr>
          <w:rFonts w:hint="eastAsia" w:ascii="仿宋_GB2312" w:hAnsi="仿宋_GB2312" w:eastAsia="仿宋_GB2312" w:cs="仿宋_GB2312"/>
          <w:sz w:val="32"/>
          <w:shd w:val="clear" w:color="auto" w:fill="FFFFFF"/>
          <w:lang w:eastAsia="zh-CN"/>
        </w:rPr>
        <w:t>《广东省乡村振兴驻镇帮镇扶村资金筹集使用监管办法》（粤财农〔2021〕126号）</w:t>
      </w:r>
      <w:r>
        <w:rPr>
          <w:rFonts w:hint="eastAsia" w:ascii="仿宋_GB2312" w:hAnsi="仿宋_GB2312" w:eastAsia="仿宋_GB2312" w:cs="仿宋_GB2312"/>
          <w:sz w:val="32"/>
          <w:shd w:val="clear" w:color="auto" w:fill="FFFFFF"/>
          <w:lang w:val="en-US" w:eastAsia="zh-CN"/>
        </w:rPr>
        <w:t>中的相关规定</w:t>
      </w:r>
      <w:r>
        <w:rPr>
          <w:rFonts w:hint="eastAsia" w:ascii="仿宋_GB2312" w:hAnsi="仿宋_GB2312" w:eastAsia="仿宋_GB2312" w:cs="仿宋_GB2312"/>
          <w:sz w:val="32"/>
        </w:rPr>
        <w:t>进行管理</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涉农资金项目</w:t>
      </w:r>
      <w:r>
        <w:rPr>
          <w:rFonts w:hint="eastAsia" w:ascii="仿宋_GB2312" w:hAnsi="仿宋_GB2312" w:eastAsia="仿宋_GB2312" w:cs="仿宋_GB2312"/>
          <w:sz w:val="32"/>
          <w:lang w:val="en-US" w:eastAsia="zh-CN"/>
        </w:rPr>
        <w:t>的</w:t>
      </w:r>
      <w:r>
        <w:rPr>
          <w:rFonts w:hint="eastAsia" w:ascii="仿宋_GB2312" w:hAnsi="仿宋_GB2312" w:eastAsia="仿宋_GB2312" w:cs="仿宋_GB2312"/>
          <w:sz w:val="32"/>
        </w:rPr>
        <w:t>实施程序是否</w:t>
      </w:r>
      <w:r>
        <w:rPr>
          <w:rFonts w:hint="eastAsia" w:ascii="仿宋_GB2312" w:hAnsi="仿宋_GB2312" w:eastAsia="仿宋_GB2312" w:cs="仿宋_GB2312"/>
          <w:sz w:val="32"/>
          <w:lang w:val="en-US" w:eastAsia="zh-CN"/>
        </w:rPr>
        <w:t>规范</w:t>
      </w:r>
      <w:r>
        <w:rPr>
          <w:rFonts w:hint="eastAsia" w:ascii="仿宋_GB2312" w:hAnsi="仿宋_GB2312" w:eastAsia="仿宋_GB2312" w:cs="仿宋_GB2312"/>
          <w:sz w:val="32"/>
        </w:rPr>
        <w:t>，在项目实施的过程中，监管是否到位，进度是否与</w:t>
      </w:r>
      <w:r>
        <w:rPr>
          <w:rFonts w:hint="eastAsia" w:ascii="仿宋_GB2312" w:hAnsi="仿宋_GB2312" w:eastAsia="仿宋_GB2312" w:cs="仿宋_GB2312"/>
          <w:sz w:val="32"/>
          <w:lang w:val="en-US" w:eastAsia="zh-CN"/>
        </w:rPr>
        <w:t>计划</w:t>
      </w:r>
      <w:r>
        <w:rPr>
          <w:rFonts w:hint="eastAsia" w:ascii="仿宋_GB2312" w:hAnsi="仿宋_GB2312" w:eastAsia="仿宋_GB2312" w:cs="仿宋_GB2312"/>
          <w:sz w:val="32"/>
        </w:rPr>
        <w:t>相符。</w:t>
      </w:r>
    </w:p>
    <w:p>
      <w:pPr>
        <w:ind w:firstLine="640" w:firstLineChars="200"/>
        <w:rPr>
          <w:rFonts w:hint="eastAsia" w:ascii="仿宋_GB2312" w:hAnsi="仿宋_GB2312" w:eastAsia="仿宋_GB2312" w:cs="仿宋_GB2312"/>
          <w:kern w:val="2"/>
          <w:sz w:val="32"/>
        </w:rPr>
      </w:pPr>
      <w:r>
        <w:rPr>
          <w:rFonts w:hint="eastAsia" w:ascii="仿宋_GB2312" w:hAnsi="仿宋_GB2312" w:eastAsia="仿宋_GB2312" w:cs="仿宋_GB2312"/>
          <w:kern w:val="2"/>
          <w:sz w:val="32"/>
        </w:rPr>
        <w:t>（三）产出</w:t>
      </w:r>
    </w:p>
    <w:p>
      <w:pPr>
        <w:ind w:firstLine="640" w:firstLineChars="200"/>
        <w:rPr>
          <w:rFonts w:hint="eastAsia" w:ascii="仿宋_GB2312" w:hAnsi="仿宋_GB2312" w:eastAsia="仿宋_GB2312" w:cs="仿宋_GB2312"/>
          <w:kern w:val="2"/>
          <w:sz w:val="32"/>
        </w:rPr>
      </w:pPr>
      <w:r>
        <w:rPr>
          <w:rFonts w:hint="eastAsia" w:ascii="仿宋_GB2312" w:hAnsi="仿宋_GB2312" w:eastAsia="仿宋_GB2312" w:cs="仿宋_GB2312"/>
          <w:sz w:val="32"/>
          <w:lang w:val="en-US" w:eastAsia="zh-CN"/>
        </w:rPr>
        <w:t>该部分评价</w:t>
      </w:r>
      <w:r>
        <w:rPr>
          <w:rFonts w:hint="eastAsia" w:ascii="仿宋_GB2312" w:hAnsi="仿宋_GB2312" w:eastAsia="仿宋_GB2312" w:cs="仿宋_GB2312"/>
          <w:sz w:val="32"/>
        </w:rPr>
        <w:t>主要从两个方面开展，一是项目预算（成本）的控制是否合理，预算的执行进度与项目的完成进度是否匹配；二是评价</w:t>
      </w:r>
      <w:r>
        <w:rPr>
          <w:rFonts w:hint="eastAsia" w:ascii="仿宋_GB2312" w:hAnsi="仿宋_GB2312" w:eastAsia="仿宋_GB2312" w:cs="仿宋_GB2312"/>
          <w:sz w:val="32"/>
          <w:lang w:eastAsia="zh-CN"/>
        </w:rPr>
        <w:t>2023</w:t>
      </w:r>
      <w:r>
        <w:rPr>
          <w:rFonts w:hint="eastAsia" w:ascii="仿宋_GB2312" w:hAnsi="仿宋_GB2312" w:eastAsia="仿宋_GB2312" w:cs="仿宋_GB2312"/>
          <w:sz w:val="32"/>
        </w:rPr>
        <w:t>年省级涉农统筹整合转移支付资金</w:t>
      </w:r>
      <w:r>
        <w:rPr>
          <w:rFonts w:hint="eastAsia" w:ascii="仿宋_GB2312" w:hAnsi="仿宋_GB2312" w:eastAsia="仿宋_GB2312" w:cs="仿宋_GB2312"/>
          <w:sz w:val="32"/>
          <w:lang w:val="en-US" w:eastAsia="zh-CN"/>
        </w:rPr>
        <w:t>考核工作</w:t>
      </w:r>
      <w:r>
        <w:rPr>
          <w:rFonts w:hint="eastAsia" w:ascii="仿宋_GB2312" w:hAnsi="仿宋_GB2312" w:eastAsia="仿宋_GB2312" w:cs="仿宋_GB2312"/>
          <w:sz w:val="32"/>
        </w:rPr>
        <w:t>任务</w:t>
      </w:r>
      <w:r>
        <w:rPr>
          <w:rFonts w:hint="eastAsia" w:ascii="仿宋_GB2312" w:hAnsi="仿宋_GB2312" w:eastAsia="仿宋_GB2312" w:cs="仿宋_GB2312"/>
          <w:sz w:val="32"/>
          <w:lang w:val="en-US" w:eastAsia="zh-CN"/>
        </w:rPr>
        <w:t>的</w:t>
      </w:r>
      <w:r>
        <w:rPr>
          <w:rFonts w:hint="eastAsia" w:ascii="仿宋_GB2312" w:hAnsi="仿宋_GB2312" w:eastAsia="仿宋_GB2312" w:cs="仿宋_GB2312"/>
          <w:sz w:val="32"/>
        </w:rPr>
        <w:t>完成情况。考核的标准是</w:t>
      </w:r>
      <w:r>
        <w:rPr>
          <w:rFonts w:hint="eastAsia" w:ascii="仿宋_GB2312" w:hAnsi="仿宋_GB2312" w:eastAsia="仿宋_GB2312" w:cs="仿宋_GB2312"/>
          <w:sz w:val="32"/>
          <w:lang w:eastAsia="zh-CN"/>
        </w:rPr>
        <w:t>《2023年涉农资金优先支持的考核工作任务清单》</w:t>
      </w:r>
      <w:r>
        <w:rPr>
          <w:rFonts w:hint="eastAsia" w:ascii="仿宋_GB2312" w:hAnsi="仿宋_GB2312" w:eastAsia="仿宋_GB2312" w:cs="仿宋_GB2312"/>
          <w:sz w:val="32"/>
          <w:lang w:val="en-US" w:eastAsia="zh-CN"/>
        </w:rPr>
        <w:t>和</w:t>
      </w:r>
      <w:r>
        <w:rPr>
          <w:rFonts w:hint="eastAsia" w:ascii="仿宋_GB2312" w:hAnsi="仿宋_GB2312" w:eastAsia="仿宋_GB2312" w:cs="仿宋_GB2312"/>
          <w:sz w:val="32"/>
          <w:lang w:eastAsia="zh-CN"/>
        </w:rPr>
        <w:t>《2023</w:t>
      </w:r>
      <w:r>
        <w:rPr>
          <w:rFonts w:hint="eastAsia" w:ascii="仿宋_GB2312" w:hAnsi="仿宋_GB2312" w:eastAsia="仿宋_GB2312" w:cs="仿宋_GB2312"/>
          <w:sz w:val="32"/>
        </w:rPr>
        <w:t>年省级涉农统筹整合转移支付资金区域绩效目标表</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lang w:val="en-US" w:eastAsia="zh-CN"/>
        </w:rPr>
        <w:t>中涉及完成数量的指标值</w:t>
      </w:r>
      <w:r>
        <w:rPr>
          <w:rFonts w:hint="eastAsia" w:ascii="仿宋_GB2312" w:hAnsi="仿宋_GB2312" w:eastAsia="仿宋_GB2312" w:cs="仿宋_GB2312"/>
          <w:kern w:val="2"/>
          <w:sz w:val="32"/>
        </w:rPr>
        <w:t>。</w:t>
      </w:r>
    </w:p>
    <w:p>
      <w:pPr>
        <w:numPr>
          <w:ilvl w:val="0"/>
          <w:numId w:val="3"/>
        </w:numPr>
        <w:ind w:firstLine="640" w:firstLineChars="200"/>
        <w:rPr>
          <w:rFonts w:hint="eastAsia" w:eastAsia="仿宋_GB2312"/>
          <w:kern w:val="2"/>
          <w:sz w:val="32"/>
        </w:rPr>
      </w:pPr>
      <w:r>
        <w:rPr>
          <w:rFonts w:hint="eastAsia" w:eastAsia="仿宋_GB2312"/>
          <w:kern w:val="2"/>
          <w:sz w:val="32"/>
        </w:rPr>
        <w:t>效益</w:t>
      </w:r>
    </w:p>
    <w:p>
      <w:pPr>
        <w:numPr>
          <w:ilvl w:val="0"/>
          <w:numId w:val="0"/>
        </w:numPr>
        <w:ind w:firstLine="640" w:firstLineChars="200"/>
        <w:rPr>
          <w:rFonts w:hint="eastAsia" w:ascii="仿宋_GB2312" w:hAnsi="仿宋_GB2312" w:eastAsia="仿宋_GB2312" w:cs="仿宋_GB2312"/>
          <w:kern w:val="2"/>
          <w:sz w:val="32"/>
        </w:rPr>
      </w:pPr>
      <w:r>
        <w:rPr>
          <w:rFonts w:hint="eastAsia" w:ascii="仿宋_GB2312" w:hAnsi="仿宋_GB2312" w:eastAsia="仿宋_GB2312" w:cs="仿宋_GB2312"/>
          <w:kern w:val="2"/>
          <w:sz w:val="32"/>
          <w:lang w:val="en-US" w:eastAsia="zh-CN"/>
        </w:rPr>
        <w:t>该部分</w:t>
      </w:r>
      <w:r>
        <w:rPr>
          <w:rFonts w:hint="eastAsia" w:ascii="仿宋_GB2312" w:hAnsi="仿宋_GB2312" w:eastAsia="仿宋_GB2312" w:cs="仿宋_GB2312"/>
          <w:kern w:val="2"/>
          <w:sz w:val="32"/>
        </w:rPr>
        <w:t>主要</w:t>
      </w:r>
      <w:r>
        <w:rPr>
          <w:rFonts w:hint="eastAsia" w:ascii="仿宋_GB2312" w:hAnsi="仿宋_GB2312" w:eastAsia="仿宋_GB2312" w:cs="仿宋_GB2312"/>
          <w:kern w:val="2"/>
          <w:sz w:val="32"/>
          <w:lang w:val="en-US" w:eastAsia="zh-CN"/>
        </w:rPr>
        <w:t>评价</w:t>
      </w:r>
      <w:r>
        <w:rPr>
          <w:rFonts w:hint="eastAsia" w:ascii="仿宋_GB2312" w:hAnsi="仿宋_GB2312" w:eastAsia="仿宋_GB2312" w:cs="仿宋_GB2312"/>
          <w:kern w:val="2"/>
          <w:sz w:val="32"/>
        </w:rPr>
        <w:t>项目的社会经济效益、可持续影响和满意度等内容</w:t>
      </w:r>
      <w:r>
        <w:rPr>
          <w:rFonts w:hint="eastAsia" w:ascii="仿宋_GB2312" w:hAnsi="仿宋_GB2312" w:eastAsia="仿宋_GB2312" w:cs="仿宋_GB2312"/>
          <w:kern w:val="2"/>
          <w:sz w:val="32"/>
          <w:lang w:eastAsia="zh-CN"/>
        </w:rPr>
        <w:t>，</w:t>
      </w:r>
      <w:r>
        <w:rPr>
          <w:rFonts w:hint="eastAsia" w:ascii="仿宋_GB2312" w:hAnsi="仿宋_GB2312" w:eastAsia="仿宋_GB2312" w:cs="仿宋_GB2312"/>
          <w:kern w:val="2"/>
          <w:sz w:val="32"/>
        </w:rPr>
        <w:t>指标</w:t>
      </w:r>
      <w:r>
        <w:rPr>
          <w:rFonts w:hint="eastAsia" w:ascii="仿宋_GB2312" w:hAnsi="仿宋_GB2312" w:eastAsia="仿宋_GB2312" w:cs="仿宋_GB2312"/>
          <w:kern w:val="2"/>
          <w:sz w:val="32"/>
          <w:lang w:val="en-US" w:eastAsia="zh-CN"/>
        </w:rPr>
        <w:t>来源</w:t>
      </w:r>
      <w:r>
        <w:rPr>
          <w:rFonts w:hint="eastAsia" w:ascii="仿宋_GB2312" w:hAnsi="仿宋_GB2312" w:eastAsia="仿宋_GB2312" w:cs="仿宋_GB2312"/>
          <w:sz w:val="32"/>
          <w:lang w:eastAsia="zh-CN"/>
        </w:rPr>
        <w:t>《2023年涉农资金优先支持的考核工作任务清单》</w:t>
      </w:r>
      <w:r>
        <w:rPr>
          <w:rFonts w:hint="eastAsia" w:ascii="仿宋_GB2312" w:hAnsi="仿宋_GB2312" w:eastAsia="仿宋_GB2312" w:cs="仿宋_GB2312"/>
          <w:sz w:val="32"/>
          <w:lang w:val="en-US" w:eastAsia="zh-CN"/>
        </w:rPr>
        <w:t>和</w:t>
      </w:r>
      <w:r>
        <w:rPr>
          <w:rFonts w:hint="eastAsia" w:ascii="仿宋_GB2312" w:hAnsi="仿宋_GB2312" w:eastAsia="仿宋_GB2312" w:cs="仿宋_GB2312"/>
          <w:sz w:val="32"/>
          <w:lang w:eastAsia="zh-CN"/>
        </w:rPr>
        <w:t>《2023</w:t>
      </w:r>
      <w:r>
        <w:rPr>
          <w:rFonts w:hint="eastAsia" w:ascii="仿宋_GB2312" w:hAnsi="仿宋_GB2312" w:eastAsia="仿宋_GB2312" w:cs="仿宋_GB2312"/>
          <w:sz w:val="32"/>
        </w:rPr>
        <w:t>年省级涉农统筹整合转移支付资金区域绩效目标表</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lang w:val="en-US" w:eastAsia="zh-CN"/>
        </w:rPr>
        <w:t>中涉及的效果性指标</w:t>
      </w:r>
      <w:r>
        <w:rPr>
          <w:rFonts w:hint="eastAsia" w:ascii="仿宋_GB2312" w:hAnsi="仿宋_GB2312" w:eastAsia="仿宋_GB2312" w:cs="仿宋_GB2312"/>
          <w:sz w:val="32"/>
        </w:rPr>
        <w:t>。</w:t>
      </w:r>
    </w:p>
    <w:p>
      <w:pPr>
        <w:ind w:firstLine="640" w:firstLineChars="200"/>
        <w:rPr>
          <w:rFonts w:hint="eastAsia" w:ascii="仿宋_GB2312" w:hAnsi="仿宋_GB2312" w:eastAsia="仿宋_GB2312" w:cs="仿宋_GB2312"/>
          <w:kern w:val="2"/>
          <w:sz w:val="32"/>
        </w:rPr>
      </w:pPr>
      <w:r>
        <w:rPr>
          <w:rFonts w:hint="eastAsia" w:ascii="仿宋_GB2312" w:hAnsi="仿宋_GB2312" w:eastAsia="仿宋_GB2312" w:cs="仿宋_GB2312"/>
          <w:kern w:val="2"/>
          <w:sz w:val="32"/>
        </w:rPr>
        <w:t>绩效评价结果设置为5个等级，分别为：优（≧90分）、良（80≦X&lt;90）、中（70≦X&lt;80）、低（60≦X&lt;70）、差（&lt;60分）。</w:t>
      </w:r>
    </w:p>
    <w:p>
      <w:pPr>
        <w:ind w:firstLine="640" w:firstLineChars="200"/>
        <w:rPr>
          <w:rFonts w:eastAsia="黑体"/>
          <w:kern w:val="2"/>
          <w:sz w:val="32"/>
        </w:rPr>
      </w:pPr>
      <w:bookmarkStart w:id="62" w:name="_Toc32426"/>
      <w:bookmarkStart w:id="63" w:name="_Toc11519033"/>
      <w:r>
        <w:rPr>
          <w:rFonts w:eastAsia="黑体"/>
          <w:kern w:val="2"/>
          <w:sz w:val="32"/>
        </w:rPr>
        <w:t>五、评价流程</w:t>
      </w:r>
      <w:bookmarkEnd w:id="62"/>
      <w:bookmarkEnd w:id="63"/>
    </w:p>
    <w:p>
      <w:pPr>
        <w:ind w:firstLine="642" w:firstLineChars="200"/>
        <w:rPr>
          <w:rFonts w:hint="eastAsia" w:eastAsia="楷体"/>
          <w:b/>
          <w:bCs/>
          <w:kern w:val="2"/>
          <w:sz w:val="32"/>
        </w:rPr>
      </w:pPr>
      <w:r>
        <w:rPr>
          <w:rFonts w:hint="eastAsia" w:eastAsia="楷体"/>
          <w:b/>
          <w:bCs/>
          <w:kern w:val="2"/>
          <w:sz w:val="32"/>
        </w:rPr>
        <w:t>（一）前期准备</w:t>
      </w:r>
    </w:p>
    <w:p>
      <w:pPr>
        <w:ind w:firstLine="642" w:firstLineChars="200"/>
        <w:rPr>
          <w:rFonts w:hint="eastAsia" w:ascii="仿宋_GB2312" w:hAnsi="仿宋_GB2312" w:eastAsia="仿宋_GB2312" w:cs="仿宋_GB2312"/>
          <w:kern w:val="2"/>
          <w:sz w:val="32"/>
        </w:rPr>
      </w:pPr>
      <w:r>
        <w:rPr>
          <w:rFonts w:hint="eastAsia" w:ascii="仿宋_GB2312" w:hAnsi="仿宋_GB2312" w:eastAsia="仿宋_GB2312" w:cs="仿宋_GB2312"/>
          <w:b/>
          <w:bCs/>
          <w:kern w:val="2"/>
          <w:sz w:val="32"/>
        </w:rPr>
        <w:t>1.</w:t>
      </w:r>
      <w:r>
        <w:rPr>
          <w:rFonts w:hint="eastAsia" w:ascii="仿宋_GB2312" w:hAnsi="仿宋_GB2312" w:eastAsia="仿宋_GB2312" w:cs="仿宋_GB2312"/>
          <w:b/>
          <w:bCs/>
          <w:kern w:val="2"/>
          <w:sz w:val="32"/>
          <w:lang w:val="en-US" w:eastAsia="zh-CN"/>
        </w:rPr>
        <w:t xml:space="preserve"> </w:t>
      </w:r>
      <w:r>
        <w:rPr>
          <w:rFonts w:hint="eastAsia" w:ascii="仿宋_GB2312" w:hAnsi="仿宋_GB2312" w:eastAsia="仿宋_GB2312" w:cs="仿宋_GB2312"/>
          <w:b/>
          <w:bCs/>
          <w:kern w:val="2"/>
          <w:sz w:val="32"/>
        </w:rPr>
        <w:t>专家团队组建：</w:t>
      </w:r>
      <w:r>
        <w:rPr>
          <w:rFonts w:hint="eastAsia" w:ascii="仿宋_GB2312" w:hAnsi="仿宋_GB2312" w:eastAsia="仿宋_GB2312" w:cs="仿宋_GB2312"/>
          <w:kern w:val="2"/>
          <w:sz w:val="32"/>
        </w:rPr>
        <w:t>根据本次评价工作的需要，本次评价组建由行业专家、财务专家、绩效专家组成的</w:t>
      </w:r>
      <w:r>
        <w:rPr>
          <w:rFonts w:hint="eastAsia" w:ascii="仿宋_GB2312" w:hAnsi="仿宋_GB2312" w:eastAsia="仿宋_GB2312" w:cs="仿宋_GB2312"/>
          <w:kern w:val="2"/>
          <w:sz w:val="32"/>
          <w:lang w:val="en-US" w:eastAsia="zh-CN"/>
        </w:rPr>
        <w:t>评价工作</w:t>
      </w:r>
      <w:r>
        <w:rPr>
          <w:rFonts w:hint="eastAsia" w:ascii="仿宋_GB2312" w:hAnsi="仿宋_GB2312" w:eastAsia="仿宋_GB2312" w:cs="仿宋_GB2312"/>
          <w:kern w:val="2"/>
          <w:sz w:val="32"/>
        </w:rPr>
        <w:t>团队，</w:t>
      </w:r>
      <w:r>
        <w:rPr>
          <w:rFonts w:hint="eastAsia" w:ascii="仿宋_GB2312" w:hAnsi="仿宋_GB2312" w:eastAsia="仿宋_GB2312" w:cs="仿宋_GB2312"/>
          <w:kern w:val="2"/>
          <w:sz w:val="32"/>
          <w:lang w:val="en-US" w:eastAsia="zh-CN"/>
        </w:rPr>
        <w:t>并</w:t>
      </w:r>
      <w:r>
        <w:rPr>
          <w:rFonts w:hint="eastAsia" w:ascii="仿宋_GB2312" w:hAnsi="仿宋_GB2312" w:eastAsia="仿宋_GB2312" w:cs="仿宋_GB2312"/>
          <w:kern w:val="2"/>
          <w:sz w:val="32"/>
        </w:rPr>
        <w:t>安排了专门人员负责与</w:t>
      </w:r>
      <w:r>
        <w:rPr>
          <w:rFonts w:hint="eastAsia" w:ascii="仿宋_GB2312" w:hAnsi="仿宋_GB2312" w:eastAsia="仿宋_GB2312" w:cs="仿宋_GB2312"/>
          <w:kern w:val="2"/>
          <w:sz w:val="32"/>
          <w:lang w:eastAsia="zh-CN"/>
        </w:rPr>
        <w:t>曲江区</w:t>
      </w:r>
      <w:r>
        <w:rPr>
          <w:rFonts w:hint="eastAsia" w:ascii="仿宋_GB2312" w:hAnsi="仿宋_GB2312" w:eastAsia="仿宋_GB2312" w:cs="仿宋_GB2312"/>
          <w:kern w:val="2"/>
          <w:sz w:val="32"/>
        </w:rPr>
        <w:t>财政局、被评价单位之间的联络。</w:t>
      </w:r>
    </w:p>
    <w:p>
      <w:pPr>
        <w:ind w:firstLine="642" w:firstLineChars="200"/>
        <w:rPr>
          <w:rFonts w:hint="eastAsia" w:ascii="仿宋_GB2312" w:hAnsi="仿宋_GB2312" w:eastAsia="仿宋_GB2312" w:cs="仿宋_GB2312"/>
          <w:kern w:val="2"/>
          <w:sz w:val="32"/>
        </w:rPr>
      </w:pPr>
      <w:r>
        <w:rPr>
          <w:rFonts w:hint="eastAsia" w:ascii="仿宋_GB2312" w:hAnsi="仿宋_GB2312" w:eastAsia="仿宋_GB2312" w:cs="仿宋_GB2312"/>
          <w:b/>
          <w:bCs/>
          <w:kern w:val="2"/>
          <w:sz w:val="32"/>
        </w:rPr>
        <w:t>2.</w:t>
      </w:r>
      <w:r>
        <w:rPr>
          <w:rFonts w:hint="eastAsia" w:ascii="仿宋_GB2312" w:hAnsi="仿宋_GB2312" w:eastAsia="仿宋_GB2312" w:cs="仿宋_GB2312"/>
          <w:b/>
          <w:bCs/>
          <w:kern w:val="2"/>
          <w:sz w:val="32"/>
          <w:lang w:val="en-US" w:eastAsia="zh-CN"/>
        </w:rPr>
        <w:t xml:space="preserve"> </w:t>
      </w:r>
      <w:r>
        <w:rPr>
          <w:rFonts w:hint="eastAsia" w:ascii="仿宋_GB2312" w:hAnsi="仿宋_GB2312" w:eastAsia="仿宋_GB2312" w:cs="仿宋_GB2312"/>
          <w:b/>
          <w:bCs/>
          <w:kern w:val="2"/>
          <w:sz w:val="32"/>
        </w:rPr>
        <w:t>编制评价工作方案：</w:t>
      </w:r>
      <w:r>
        <w:rPr>
          <w:rFonts w:hint="eastAsia" w:ascii="仿宋_GB2312" w:hAnsi="仿宋_GB2312" w:eastAsia="仿宋_GB2312" w:cs="仿宋_GB2312"/>
          <w:kern w:val="2"/>
          <w:sz w:val="32"/>
          <w:lang w:val="en-US" w:eastAsia="zh-CN"/>
        </w:rPr>
        <w:t>评价工作</w:t>
      </w:r>
      <w:r>
        <w:rPr>
          <w:rFonts w:hint="eastAsia" w:ascii="仿宋_GB2312" w:hAnsi="仿宋_GB2312" w:eastAsia="仿宋_GB2312" w:cs="仿宋_GB2312"/>
          <w:kern w:val="2"/>
          <w:sz w:val="32"/>
        </w:rPr>
        <w:t>团队根据</w:t>
      </w:r>
      <w:r>
        <w:rPr>
          <w:rFonts w:hint="eastAsia" w:ascii="仿宋_GB2312" w:hAnsi="仿宋_GB2312" w:eastAsia="仿宋_GB2312" w:cs="仿宋_GB2312"/>
          <w:kern w:val="2"/>
          <w:sz w:val="32"/>
          <w:lang w:eastAsia="zh-CN"/>
        </w:rPr>
        <w:t>曲江区</w:t>
      </w:r>
      <w:r>
        <w:rPr>
          <w:rFonts w:hint="eastAsia" w:ascii="仿宋_GB2312" w:hAnsi="仿宋_GB2312" w:eastAsia="仿宋_GB2312" w:cs="仿宋_GB2312"/>
          <w:sz w:val="32"/>
          <w:lang w:eastAsia="zh-CN"/>
        </w:rPr>
        <w:t>2023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度</w:t>
      </w:r>
      <w:r>
        <w:rPr>
          <w:rFonts w:hint="eastAsia" w:ascii="仿宋_GB2312" w:hAnsi="仿宋_GB2312" w:eastAsia="仿宋_GB2312" w:cs="仿宋_GB2312"/>
          <w:sz w:val="32"/>
        </w:rPr>
        <w:t>省级涉农统筹整合转移支付资金</w:t>
      </w:r>
      <w:r>
        <w:rPr>
          <w:rFonts w:hint="eastAsia" w:ascii="仿宋_GB2312" w:hAnsi="仿宋_GB2312" w:eastAsia="仿宋_GB2312" w:cs="仿宋_GB2312"/>
          <w:kern w:val="2"/>
          <w:sz w:val="32"/>
        </w:rPr>
        <w:t>的具体情况，编制评价工作方案。</w:t>
      </w:r>
    </w:p>
    <w:p>
      <w:pPr>
        <w:ind w:firstLine="642" w:firstLineChars="200"/>
        <w:rPr>
          <w:rFonts w:hint="eastAsia" w:ascii="仿宋_GB2312" w:hAnsi="仿宋_GB2312" w:eastAsia="仿宋_GB2312" w:cs="仿宋_GB2312"/>
          <w:kern w:val="2"/>
          <w:sz w:val="32"/>
        </w:rPr>
      </w:pPr>
      <w:r>
        <w:rPr>
          <w:rFonts w:hint="eastAsia" w:ascii="仿宋_GB2312" w:hAnsi="仿宋_GB2312" w:eastAsia="仿宋_GB2312" w:cs="仿宋_GB2312"/>
          <w:b/>
          <w:bCs/>
          <w:kern w:val="2"/>
          <w:sz w:val="32"/>
        </w:rPr>
        <w:t>3.</w:t>
      </w:r>
      <w:r>
        <w:rPr>
          <w:rFonts w:hint="eastAsia" w:ascii="仿宋_GB2312" w:hAnsi="仿宋_GB2312" w:eastAsia="仿宋_GB2312" w:cs="仿宋_GB2312"/>
          <w:b/>
          <w:bCs/>
          <w:kern w:val="2"/>
          <w:sz w:val="32"/>
          <w:lang w:val="en-US" w:eastAsia="zh-CN"/>
        </w:rPr>
        <w:t xml:space="preserve"> </w:t>
      </w:r>
      <w:r>
        <w:rPr>
          <w:rFonts w:hint="eastAsia" w:ascii="仿宋_GB2312" w:hAnsi="仿宋_GB2312" w:eastAsia="仿宋_GB2312" w:cs="仿宋_GB2312"/>
          <w:b/>
          <w:bCs/>
          <w:kern w:val="2"/>
          <w:sz w:val="32"/>
        </w:rPr>
        <w:t>编制评价指标表：</w:t>
      </w:r>
      <w:r>
        <w:rPr>
          <w:rFonts w:hint="eastAsia" w:ascii="仿宋_GB2312" w:hAnsi="仿宋_GB2312" w:eastAsia="仿宋_GB2312" w:cs="仿宋_GB2312"/>
          <w:kern w:val="2"/>
          <w:sz w:val="32"/>
          <w:lang w:val="en-US" w:eastAsia="zh-CN"/>
        </w:rPr>
        <w:t>评价工作</w:t>
      </w:r>
      <w:r>
        <w:rPr>
          <w:rFonts w:hint="eastAsia" w:ascii="仿宋_GB2312" w:hAnsi="仿宋_GB2312" w:eastAsia="仿宋_GB2312" w:cs="仿宋_GB2312"/>
          <w:kern w:val="2"/>
          <w:sz w:val="32"/>
        </w:rPr>
        <w:t>团队根据省、市下达的任务</w:t>
      </w:r>
      <w:r>
        <w:rPr>
          <w:rFonts w:hint="eastAsia" w:ascii="仿宋_GB2312" w:hAnsi="仿宋_GB2312" w:eastAsia="仿宋_GB2312" w:cs="仿宋_GB2312"/>
          <w:kern w:val="2"/>
          <w:sz w:val="32"/>
          <w:lang w:val="en-US" w:eastAsia="zh-CN"/>
        </w:rPr>
        <w:t>目标、绩效目标</w:t>
      </w:r>
      <w:r>
        <w:rPr>
          <w:rFonts w:hint="eastAsia" w:ascii="仿宋_GB2312" w:hAnsi="仿宋_GB2312" w:eastAsia="仿宋_GB2312" w:cs="仿宋_GB2312"/>
          <w:kern w:val="2"/>
          <w:sz w:val="32"/>
        </w:rPr>
        <w:t>以及</w:t>
      </w:r>
      <w:r>
        <w:rPr>
          <w:rFonts w:hint="eastAsia" w:ascii="仿宋_GB2312" w:hAnsi="仿宋_GB2312" w:eastAsia="仿宋_GB2312" w:cs="仿宋_GB2312"/>
          <w:kern w:val="2"/>
          <w:sz w:val="32"/>
          <w:lang w:eastAsia="zh-CN"/>
        </w:rPr>
        <w:t>曲江区</w:t>
      </w:r>
      <w:r>
        <w:rPr>
          <w:rFonts w:hint="eastAsia" w:ascii="仿宋_GB2312" w:hAnsi="仿宋_GB2312" w:eastAsia="仿宋_GB2312" w:cs="仿宋_GB2312"/>
          <w:kern w:val="2"/>
          <w:sz w:val="32"/>
        </w:rPr>
        <w:t>具体的资金安排，制定本次评价的评价指标表。</w:t>
      </w:r>
    </w:p>
    <w:p>
      <w:pPr>
        <w:ind w:firstLine="642" w:firstLineChars="200"/>
        <w:rPr>
          <w:rFonts w:hint="eastAsia" w:ascii="仿宋_GB2312" w:hAnsi="仿宋_GB2312" w:eastAsia="仿宋_GB2312" w:cs="仿宋_GB2312"/>
          <w:kern w:val="2"/>
          <w:sz w:val="32"/>
        </w:rPr>
      </w:pPr>
      <w:r>
        <w:rPr>
          <w:rFonts w:hint="eastAsia" w:ascii="仿宋_GB2312" w:hAnsi="仿宋_GB2312" w:eastAsia="仿宋_GB2312" w:cs="仿宋_GB2312"/>
          <w:b/>
          <w:bCs/>
          <w:kern w:val="2"/>
          <w:sz w:val="32"/>
        </w:rPr>
        <w:t>4.</w:t>
      </w:r>
      <w:r>
        <w:rPr>
          <w:rFonts w:hint="eastAsia" w:ascii="仿宋_GB2312" w:hAnsi="仿宋_GB2312" w:eastAsia="仿宋_GB2312" w:cs="仿宋_GB2312"/>
          <w:b/>
          <w:bCs/>
          <w:kern w:val="2"/>
          <w:sz w:val="32"/>
          <w:lang w:val="en-US" w:eastAsia="zh-CN"/>
        </w:rPr>
        <w:t xml:space="preserve"> </w:t>
      </w:r>
      <w:r>
        <w:rPr>
          <w:rFonts w:hint="eastAsia" w:ascii="仿宋_GB2312" w:hAnsi="仿宋_GB2312" w:eastAsia="仿宋_GB2312" w:cs="仿宋_GB2312"/>
          <w:b/>
          <w:bCs/>
          <w:kern w:val="2"/>
          <w:sz w:val="32"/>
        </w:rPr>
        <w:t>编制评价材料清单：</w:t>
      </w:r>
      <w:r>
        <w:rPr>
          <w:rFonts w:hint="eastAsia" w:ascii="仿宋_GB2312" w:hAnsi="仿宋_GB2312" w:eastAsia="仿宋_GB2312" w:cs="仿宋_GB2312"/>
          <w:kern w:val="2"/>
          <w:sz w:val="32"/>
          <w:lang w:val="en-US" w:eastAsia="zh-CN"/>
        </w:rPr>
        <w:t>评价工作</w:t>
      </w:r>
      <w:r>
        <w:rPr>
          <w:rFonts w:hint="eastAsia" w:ascii="仿宋_GB2312" w:hAnsi="仿宋_GB2312" w:eastAsia="仿宋_GB2312" w:cs="仿宋_GB2312"/>
          <w:kern w:val="2"/>
          <w:sz w:val="32"/>
        </w:rPr>
        <w:t>团队根据评价工作的需求，编制本次评价需要提交的材料清单。</w:t>
      </w:r>
    </w:p>
    <w:p>
      <w:pPr>
        <w:ind w:firstLine="642" w:firstLineChars="200"/>
        <w:rPr>
          <w:rFonts w:hint="eastAsia" w:eastAsia="楷体"/>
          <w:b/>
          <w:bCs/>
          <w:kern w:val="2"/>
          <w:sz w:val="32"/>
        </w:rPr>
      </w:pPr>
      <w:r>
        <w:rPr>
          <w:rFonts w:hint="eastAsia" w:eastAsia="楷体"/>
          <w:b/>
          <w:bCs/>
          <w:kern w:val="2"/>
          <w:sz w:val="32"/>
        </w:rPr>
        <w:t>（二）</w:t>
      </w:r>
      <w:r>
        <w:rPr>
          <w:rFonts w:hint="eastAsia" w:eastAsia="楷体"/>
          <w:b/>
          <w:bCs/>
          <w:kern w:val="2"/>
          <w:sz w:val="32"/>
          <w:lang w:val="en-US" w:eastAsia="zh-CN"/>
        </w:rPr>
        <w:t>自评</w:t>
      </w:r>
      <w:r>
        <w:rPr>
          <w:rFonts w:hint="eastAsia" w:eastAsia="楷体"/>
          <w:b/>
          <w:bCs/>
          <w:kern w:val="2"/>
          <w:sz w:val="32"/>
        </w:rPr>
        <w:t>审核</w:t>
      </w:r>
    </w:p>
    <w:p>
      <w:pPr>
        <w:ind w:firstLine="642" w:firstLineChars="200"/>
        <w:rPr>
          <w:rFonts w:hint="eastAsia" w:ascii="仿宋_GB2312" w:hAnsi="仿宋_GB2312" w:eastAsia="仿宋_GB2312" w:cs="仿宋_GB2312"/>
          <w:kern w:val="2"/>
          <w:sz w:val="32"/>
        </w:rPr>
      </w:pPr>
      <w:r>
        <w:rPr>
          <w:rFonts w:hint="eastAsia" w:ascii="仿宋_GB2312" w:hAnsi="仿宋_GB2312" w:eastAsia="仿宋_GB2312" w:cs="仿宋_GB2312"/>
          <w:b/>
          <w:bCs/>
          <w:kern w:val="2"/>
          <w:sz w:val="32"/>
          <w:lang w:val="en-US" w:eastAsia="zh-CN"/>
        </w:rPr>
        <w:t xml:space="preserve">1. </w:t>
      </w:r>
      <w:r>
        <w:rPr>
          <w:rFonts w:hint="eastAsia" w:ascii="仿宋_GB2312" w:hAnsi="仿宋_GB2312" w:eastAsia="仿宋_GB2312" w:cs="仿宋_GB2312"/>
          <w:b/>
          <w:bCs/>
          <w:kern w:val="2"/>
          <w:sz w:val="32"/>
        </w:rPr>
        <w:t>自评材料收集</w:t>
      </w:r>
      <w:r>
        <w:rPr>
          <w:rFonts w:hint="eastAsia" w:ascii="仿宋_GB2312" w:hAnsi="仿宋_GB2312" w:eastAsia="仿宋_GB2312" w:cs="仿宋_GB2312"/>
          <w:b/>
          <w:bCs/>
          <w:kern w:val="2"/>
          <w:sz w:val="32"/>
          <w:lang w:eastAsia="zh-CN"/>
        </w:rPr>
        <w:t>：</w:t>
      </w:r>
      <w:r>
        <w:rPr>
          <w:rFonts w:hint="eastAsia" w:ascii="仿宋_GB2312" w:hAnsi="仿宋_GB2312" w:eastAsia="仿宋_GB2312" w:cs="仿宋_GB2312"/>
          <w:kern w:val="2"/>
          <w:sz w:val="32"/>
        </w:rPr>
        <w:t>主要是按材料清单收集</w:t>
      </w:r>
      <w:r>
        <w:rPr>
          <w:rFonts w:hint="eastAsia" w:ascii="仿宋_GB2312" w:hAnsi="仿宋_GB2312" w:eastAsia="仿宋_GB2312" w:cs="仿宋_GB2312"/>
          <w:kern w:val="2"/>
          <w:sz w:val="32"/>
          <w:lang w:eastAsia="zh-CN"/>
        </w:rPr>
        <w:t>曲江区</w:t>
      </w:r>
      <w:r>
        <w:rPr>
          <w:rFonts w:hint="eastAsia" w:ascii="仿宋_GB2312" w:hAnsi="仿宋_GB2312" w:eastAsia="仿宋_GB2312" w:cs="仿宋_GB2312"/>
          <w:sz w:val="32"/>
          <w:lang w:eastAsia="zh-CN"/>
        </w:rPr>
        <w:t>2023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度</w:t>
      </w:r>
      <w:r>
        <w:rPr>
          <w:rFonts w:hint="eastAsia" w:ascii="仿宋_GB2312" w:hAnsi="仿宋_GB2312" w:eastAsia="仿宋_GB2312" w:cs="仿宋_GB2312"/>
          <w:sz w:val="32"/>
        </w:rPr>
        <w:t>省级涉农统筹整合转移支付资金</w:t>
      </w:r>
      <w:r>
        <w:rPr>
          <w:rFonts w:hint="eastAsia" w:ascii="仿宋_GB2312" w:hAnsi="仿宋_GB2312" w:eastAsia="仿宋_GB2312" w:cs="仿宋_GB2312"/>
          <w:sz w:val="32"/>
          <w:lang w:val="en-US" w:eastAsia="zh-CN"/>
        </w:rPr>
        <w:t>项目</w:t>
      </w:r>
      <w:r>
        <w:rPr>
          <w:rFonts w:hint="eastAsia" w:ascii="仿宋_GB2312" w:hAnsi="仿宋_GB2312" w:eastAsia="仿宋_GB2312" w:cs="仿宋_GB2312"/>
          <w:kern w:val="2"/>
          <w:sz w:val="32"/>
          <w:lang w:val="en-US" w:eastAsia="zh-CN"/>
        </w:rPr>
        <w:t>开展</w:t>
      </w:r>
      <w:r>
        <w:rPr>
          <w:rFonts w:hint="eastAsia" w:ascii="仿宋_GB2312" w:hAnsi="仿宋_GB2312" w:eastAsia="仿宋_GB2312" w:cs="仿宋_GB2312"/>
          <w:kern w:val="2"/>
          <w:sz w:val="32"/>
        </w:rPr>
        <w:t>过程中，各项工作开展的过程</w:t>
      </w:r>
      <w:r>
        <w:rPr>
          <w:rFonts w:hint="eastAsia" w:ascii="仿宋_GB2312" w:hAnsi="仿宋_GB2312" w:eastAsia="仿宋_GB2312" w:cs="仿宋_GB2312"/>
          <w:kern w:val="2"/>
          <w:sz w:val="32"/>
          <w:lang w:val="en-US" w:eastAsia="zh-CN"/>
        </w:rPr>
        <w:t>和</w:t>
      </w:r>
      <w:r>
        <w:rPr>
          <w:rFonts w:hint="eastAsia" w:ascii="仿宋_GB2312" w:hAnsi="仿宋_GB2312" w:eastAsia="仿宋_GB2312" w:cs="仿宋_GB2312"/>
          <w:kern w:val="2"/>
          <w:sz w:val="32"/>
        </w:rPr>
        <w:t>结果佐证材料。包括各个项目实施方案、</w:t>
      </w:r>
      <w:r>
        <w:rPr>
          <w:rFonts w:hint="eastAsia" w:ascii="仿宋_GB2312" w:hAnsi="仿宋_GB2312" w:eastAsia="仿宋_GB2312" w:cs="仿宋_GB2312"/>
          <w:kern w:val="2"/>
          <w:sz w:val="32"/>
          <w:lang w:val="en-US" w:eastAsia="zh-CN"/>
        </w:rPr>
        <w:t>招投标文件、</w:t>
      </w:r>
      <w:r>
        <w:rPr>
          <w:rFonts w:hint="eastAsia" w:ascii="仿宋_GB2312" w:hAnsi="仿宋_GB2312" w:eastAsia="仿宋_GB2312" w:cs="仿宋_GB2312"/>
          <w:kern w:val="2"/>
          <w:sz w:val="32"/>
        </w:rPr>
        <w:t>合同、验收材料、年度工作总结、资金支付</w:t>
      </w:r>
      <w:r>
        <w:rPr>
          <w:rFonts w:hint="eastAsia" w:ascii="仿宋_GB2312" w:hAnsi="仿宋_GB2312" w:eastAsia="仿宋_GB2312" w:cs="仿宋_GB2312"/>
          <w:kern w:val="2"/>
          <w:sz w:val="32"/>
          <w:lang w:val="en-US" w:eastAsia="zh-CN"/>
        </w:rPr>
        <w:t>材料</w:t>
      </w:r>
      <w:r>
        <w:rPr>
          <w:rFonts w:hint="eastAsia" w:ascii="仿宋_GB2312" w:hAnsi="仿宋_GB2312" w:eastAsia="仿宋_GB2312" w:cs="仿宋_GB2312"/>
          <w:kern w:val="2"/>
          <w:sz w:val="32"/>
        </w:rPr>
        <w:t>等。</w:t>
      </w:r>
    </w:p>
    <w:p>
      <w:pPr>
        <w:ind w:firstLine="642" w:firstLineChars="200"/>
        <w:rPr>
          <w:rFonts w:hint="eastAsia" w:ascii="仿宋_GB2312" w:hAnsi="仿宋_GB2312" w:eastAsia="仿宋_GB2312" w:cs="仿宋_GB2312"/>
          <w:kern w:val="2"/>
          <w:sz w:val="32"/>
        </w:rPr>
      </w:pPr>
      <w:r>
        <w:rPr>
          <w:rFonts w:hint="eastAsia" w:ascii="仿宋_GB2312" w:hAnsi="仿宋_GB2312" w:eastAsia="仿宋_GB2312" w:cs="仿宋_GB2312"/>
          <w:b/>
          <w:bCs/>
          <w:kern w:val="2"/>
          <w:sz w:val="32"/>
          <w:lang w:val="en-US" w:eastAsia="zh-CN"/>
        </w:rPr>
        <w:t xml:space="preserve">2. </w:t>
      </w:r>
      <w:r>
        <w:rPr>
          <w:rFonts w:hint="eastAsia" w:ascii="仿宋_GB2312" w:hAnsi="仿宋_GB2312" w:eastAsia="仿宋_GB2312" w:cs="仿宋_GB2312"/>
          <w:b/>
          <w:bCs/>
          <w:kern w:val="2"/>
          <w:sz w:val="32"/>
        </w:rPr>
        <w:t>自评材料书面审核</w:t>
      </w:r>
      <w:r>
        <w:rPr>
          <w:rFonts w:hint="eastAsia" w:ascii="仿宋_GB2312" w:hAnsi="仿宋_GB2312" w:eastAsia="仿宋_GB2312" w:cs="仿宋_GB2312"/>
          <w:b/>
          <w:bCs/>
          <w:kern w:val="2"/>
          <w:sz w:val="32"/>
          <w:lang w:eastAsia="zh-CN"/>
        </w:rPr>
        <w:t>：</w:t>
      </w:r>
      <w:r>
        <w:rPr>
          <w:rFonts w:hint="eastAsia" w:ascii="仿宋_GB2312" w:hAnsi="仿宋_GB2312" w:eastAsia="仿宋_GB2312" w:cs="仿宋_GB2312"/>
          <w:kern w:val="2"/>
          <w:sz w:val="32"/>
        </w:rPr>
        <w:t>该项工作主要包括</w:t>
      </w:r>
      <w:r>
        <w:rPr>
          <w:rFonts w:hint="eastAsia" w:ascii="仿宋_GB2312" w:hAnsi="仿宋_GB2312" w:eastAsia="仿宋_GB2312" w:cs="仿宋_GB2312"/>
          <w:b/>
          <w:bCs/>
          <w:kern w:val="2"/>
          <w:sz w:val="32"/>
        </w:rPr>
        <w:t>一是</w:t>
      </w:r>
      <w:r>
        <w:rPr>
          <w:rFonts w:hint="eastAsia" w:ascii="仿宋_GB2312" w:hAnsi="仿宋_GB2312" w:eastAsia="仿宋_GB2312" w:cs="仿宋_GB2312"/>
          <w:kern w:val="2"/>
          <w:sz w:val="32"/>
        </w:rPr>
        <w:t>对材料的完整性进行审核，材料完整性主要是依据材料清单提供材料的要求，结合项目具体特点和评价指标表中效率性指标、效果性指标等要求，分析项目单位提供的佐证材料是否完整。</w:t>
      </w:r>
      <w:r>
        <w:rPr>
          <w:rFonts w:hint="eastAsia" w:ascii="仿宋_GB2312" w:hAnsi="仿宋_GB2312" w:eastAsia="仿宋_GB2312" w:cs="仿宋_GB2312"/>
          <w:b/>
          <w:bCs/>
          <w:kern w:val="2"/>
          <w:sz w:val="32"/>
        </w:rPr>
        <w:t>二是</w:t>
      </w:r>
      <w:r>
        <w:rPr>
          <w:rFonts w:hint="eastAsia" w:ascii="仿宋_GB2312" w:hAnsi="仿宋_GB2312" w:eastAsia="仿宋_GB2312" w:cs="仿宋_GB2312"/>
          <w:kern w:val="2"/>
          <w:sz w:val="32"/>
        </w:rPr>
        <w:t>通过自评材料的审核，分析该项目的基本情况</w:t>
      </w:r>
      <w:r>
        <w:rPr>
          <w:rFonts w:hint="eastAsia" w:ascii="仿宋_GB2312" w:hAnsi="仿宋_GB2312" w:eastAsia="仿宋_GB2312" w:cs="仿宋_GB2312"/>
          <w:kern w:val="2"/>
          <w:sz w:val="32"/>
          <w:lang w:eastAsia="zh-CN"/>
        </w:rPr>
        <w:t>、</w:t>
      </w:r>
      <w:r>
        <w:rPr>
          <w:rFonts w:hint="eastAsia" w:ascii="仿宋_GB2312" w:hAnsi="仿宋_GB2312" w:eastAsia="仿宋_GB2312" w:cs="仿宋_GB2312"/>
          <w:kern w:val="2"/>
          <w:sz w:val="32"/>
          <w:lang w:val="en-US" w:eastAsia="zh-CN"/>
        </w:rPr>
        <w:t>存在</w:t>
      </w:r>
      <w:r>
        <w:rPr>
          <w:rFonts w:hint="eastAsia" w:ascii="仿宋_GB2312" w:hAnsi="仿宋_GB2312" w:eastAsia="仿宋_GB2312" w:cs="仿宋_GB2312"/>
          <w:kern w:val="2"/>
          <w:sz w:val="32"/>
        </w:rPr>
        <w:t>的问题和取得的绩效成果</w:t>
      </w:r>
      <w:r>
        <w:rPr>
          <w:rFonts w:hint="eastAsia" w:ascii="仿宋_GB2312" w:hAnsi="仿宋_GB2312" w:eastAsia="仿宋_GB2312" w:cs="仿宋_GB2312"/>
          <w:kern w:val="2"/>
          <w:sz w:val="32"/>
          <w:lang w:val="en-US" w:eastAsia="zh-CN"/>
        </w:rPr>
        <w:t>等</w:t>
      </w:r>
      <w:r>
        <w:rPr>
          <w:rFonts w:hint="eastAsia" w:ascii="仿宋_GB2312" w:hAnsi="仿宋_GB2312" w:eastAsia="仿宋_GB2312" w:cs="仿宋_GB2312"/>
          <w:kern w:val="2"/>
          <w:sz w:val="32"/>
        </w:rPr>
        <w:t>。</w:t>
      </w:r>
      <w:r>
        <w:rPr>
          <w:rFonts w:hint="eastAsia" w:ascii="仿宋_GB2312" w:hAnsi="仿宋_GB2312" w:eastAsia="仿宋_GB2312" w:cs="仿宋_GB2312"/>
          <w:b/>
          <w:bCs/>
          <w:kern w:val="2"/>
          <w:sz w:val="32"/>
        </w:rPr>
        <w:t>三是</w:t>
      </w:r>
      <w:r>
        <w:rPr>
          <w:rFonts w:hint="eastAsia" w:ascii="仿宋_GB2312" w:hAnsi="仿宋_GB2312" w:eastAsia="仿宋_GB2312" w:cs="仿宋_GB2312"/>
          <w:kern w:val="2"/>
          <w:sz w:val="32"/>
        </w:rPr>
        <w:t>通过对自评材料的分析，确定现场评价的地点、内容、时间等，为现场评价提供支撑。</w:t>
      </w:r>
    </w:p>
    <w:p>
      <w:pPr>
        <w:ind w:firstLine="642" w:firstLineChars="200"/>
        <w:rPr>
          <w:rFonts w:hint="eastAsia" w:eastAsia="楷体"/>
          <w:b/>
          <w:bCs/>
          <w:kern w:val="2"/>
          <w:sz w:val="32"/>
        </w:rPr>
      </w:pPr>
      <w:r>
        <w:rPr>
          <w:rFonts w:hint="eastAsia" w:eastAsia="楷体"/>
          <w:b/>
          <w:bCs/>
          <w:kern w:val="2"/>
          <w:sz w:val="32"/>
        </w:rPr>
        <w:t>（三）现场核查评价</w:t>
      </w:r>
    </w:p>
    <w:p>
      <w:pPr>
        <w:ind w:firstLine="640" w:firstLineChars="200"/>
        <w:rPr>
          <w:rFonts w:hint="eastAsia" w:eastAsia="仿宋_GB2312"/>
          <w:kern w:val="2"/>
          <w:sz w:val="32"/>
        </w:rPr>
      </w:pPr>
      <w:r>
        <w:rPr>
          <w:rFonts w:hint="eastAsia" w:eastAsia="仿宋_GB2312"/>
          <w:kern w:val="2"/>
          <w:sz w:val="32"/>
        </w:rPr>
        <w:t>本次评价资金的使用范围仅限于</w:t>
      </w:r>
      <w:r>
        <w:rPr>
          <w:rFonts w:hint="eastAsia" w:eastAsia="仿宋_GB2312"/>
          <w:kern w:val="2"/>
          <w:sz w:val="32"/>
          <w:lang w:eastAsia="zh-CN"/>
        </w:rPr>
        <w:t>曲江区</w:t>
      </w:r>
      <w:r>
        <w:rPr>
          <w:rFonts w:hint="eastAsia" w:eastAsia="仿宋_GB2312"/>
          <w:kern w:val="2"/>
          <w:sz w:val="32"/>
        </w:rPr>
        <w:t>，故现场评价范围确定为</w:t>
      </w:r>
      <w:r>
        <w:rPr>
          <w:rFonts w:hint="eastAsia" w:eastAsia="仿宋_GB2312"/>
          <w:kern w:val="2"/>
          <w:sz w:val="32"/>
          <w:lang w:eastAsia="zh-CN"/>
        </w:rPr>
        <w:t>曲江区</w:t>
      </w:r>
      <w:r>
        <w:rPr>
          <w:rFonts w:hint="eastAsia" w:eastAsia="仿宋_GB2312"/>
          <w:kern w:val="2"/>
          <w:sz w:val="32"/>
        </w:rPr>
        <w:t>。</w:t>
      </w:r>
    </w:p>
    <w:p>
      <w:pPr>
        <w:ind w:firstLine="640" w:firstLineChars="200"/>
        <w:rPr>
          <w:rFonts w:hint="eastAsia" w:ascii="仿宋_GB2312" w:hAnsi="仿宋_GB2312" w:eastAsia="仿宋_GB2312" w:cs="仿宋_GB2312"/>
          <w:kern w:val="2"/>
          <w:sz w:val="32"/>
          <w:lang w:eastAsia="zh-CN"/>
        </w:rPr>
      </w:pPr>
      <w:r>
        <w:rPr>
          <w:rFonts w:hint="eastAsia" w:eastAsia="仿宋_GB2312"/>
          <w:kern w:val="2"/>
          <w:sz w:val="32"/>
          <w:lang w:val="en-US" w:eastAsia="zh-CN"/>
        </w:rPr>
        <w:t>本次</w:t>
      </w:r>
      <w:r>
        <w:rPr>
          <w:rFonts w:hint="eastAsia" w:eastAsia="仿宋_GB2312"/>
          <w:kern w:val="2"/>
          <w:sz w:val="32"/>
        </w:rPr>
        <w:t>现场评价</w:t>
      </w:r>
      <w:r>
        <w:rPr>
          <w:rFonts w:hint="eastAsia" w:eastAsia="仿宋_GB2312"/>
          <w:kern w:val="2"/>
          <w:sz w:val="32"/>
          <w:lang w:val="en-US" w:eastAsia="zh-CN"/>
        </w:rPr>
        <w:t>通过</w:t>
      </w:r>
      <w:r>
        <w:rPr>
          <w:rFonts w:hint="eastAsia" w:eastAsia="仿宋_GB2312"/>
          <w:kern w:val="2"/>
          <w:sz w:val="32"/>
        </w:rPr>
        <w:t>包括座谈、实地核查、</w:t>
      </w:r>
      <w:r>
        <w:rPr>
          <w:rFonts w:hint="eastAsia" w:eastAsia="仿宋_GB2312"/>
          <w:sz w:val="32"/>
        </w:rPr>
        <w:t>走访交流</w:t>
      </w:r>
      <w:r>
        <w:rPr>
          <w:rFonts w:hint="eastAsia" w:eastAsia="仿宋_GB2312"/>
          <w:kern w:val="2"/>
          <w:sz w:val="32"/>
        </w:rPr>
        <w:t>等方式进行</w:t>
      </w:r>
      <w:r>
        <w:rPr>
          <w:rFonts w:eastAsia="仿宋_GB2312"/>
          <w:kern w:val="2"/>
          <w:sz w:val="32"/>
        </w:rPr>
        <w:t>，</w:t>
      </w:r>
      <w:r>
        <w:rPr>
          <w:rFonts w:hint="eastAsia" w:eastAsia="仿宋_GB2312"/>
          <w:kern w:val="2"/>
          <w:sz w:val="32"/>
          <w:lang w:val="en-US" w:eastAsia="zh-CN"/>
        </w:rPr>
        <w:t>抽取重要项目深入</w:t>
      </w:r>
      <w:r>
        <w:rPr>
          <w:rFonts w:eastAsia="仿宋_GB2312"/>
          <w:kern w:val="2"/>
          <w:sz w:val="32"/>
        </w:rPr>
        <w:t>现场进行核查</w:t>
      </w:r>
      <w:r>
        <w:rPr>
          <w:rFonts w:hint="eastAsia" w:eastAsia="仿宋_GB2312"/>
          <w:kern w:val="2"/>
          <w:sz w:val="32"/>
          <w:lang w:eastAsia="zh-CN"/>
        </w:rPr>
        <w:t>，</w:t>
      </w:r>
      <w:r>
        <w:rPr>
          <w:rFonts w:hint="eastAsia" w:eastAsia="仿宋_GB2312"/>
          <w:kern w:val="2"/>
          <w:sz w:val="32"/>
        </w:rPr>
        <w:t>查看项目实施进度及完成效果，</w:t>
      </w:r>
      <w:r>
        <w:rPr>
          <w:rFonts w:hint="eastAsia" w:eastAsia="仿宋_GB2312"/>
          <w:kern w:val="2"/>
          <w:sz w:val="32"/>
          <w:lang w:val="en-US" w:eastAsia="zh-CN"/>
        </w:rPr>
        <w:t>评价的项目单位包括曲江区农业农村局、水务局、交通运输局、文化广电旅游体育局、住房和城乡建设管理局</w:t>
      </w:r>
      <w:r>
        <w:rPr>
          <w:rFonts w:eastAsia="仿宋_GB2312"/>
          <w:kern w:val="2"/>
          <w:sz w:val="32"/>
        </w:rPr>
        <w:t>。</w:t>
      </w:r>
      <w:r>
        <w:rPr>
          <w:rFonts w:hint="eastAsia" w:eastAsia="仿宋_GB2312"/>
          <w:kern w:val="2"/>
          <w:sz w:val="32"/>
        </w:rPr>
        <w:t>现场核查项目清单见下表</w:t>
      </w:r>
      <w:r>
        <w:rPr>
          <w:rFonts w:hint="eastAsia" w:ascii="仿宋_GB2312" w:hAnsi="仿宋_GB2312" w:eastAsia="仿宋_GB2312" w:cs="仿宋_GB2312"/>
          <w:kern w:val="2"/>
          <w:sz w:val="32"/>
          <w:lang w:val="en-US" w:eastAsia="zh-CN"/>
        </w:rPr>
        <w:t>9</w:t>
      </w:r>
      <w:r>
        <w:rPr>
          <w:rFonts w:hint="eastAsia" w:ascii="仿宋_GB2312" w:hAnsi="仿宋_GB2312" w:eastAsia="仿宋_GB2312" w:cs="仿宋_GB2312"/>
          <w:kern w:val="2"/>
          <w:sz w:val="32"/>
          <w:lang w:eastAsia="zh-CN"/>
        </w:rPr>
        <w:t>：</w:t>
      </w:r>
    </w:p>
    <w:p>
      <w:pPr>
        <w:ind w:firstLine="560"/>
        <w:jc w:val="center"/>
        <w:rPr>
          <w:rFonts w:ascii="黑体" w:hAnsi="黑体" w:eastAsia="黑体"/>
          <w:kern w:val="2"/>
          <w:sz w:val="28"/>
          <w:szCs w:val="28"/>
        </w:rPr>
      </w:pPr>
      <w:r>
        <w:rPr>
          <w:rFonts w:hint="eastAsia" w:ascii="黑体" w:hAnsi="黑体" w:eastAsia="黑体"/>
          <w:kern w:val="2"/>
          <w:sz w:val="28"/>
          <w:szCs w:val="28"/>
        </w:rPr>
        <w:t>表</w:t>
      </w:r>
      <w:r>
        <w:rPr>
          <w:rFonts w:hint="eastAsia" w:ascii="黑体" w:hAnsi="黑体" w:eastAsia="黑体"/>
          <w:kern w:val="2"/>
          <w:sz w:val="28"/>
          <w:szCs w:val="28"/>
          <w:lang w:val="en-US" w:eastAsia="zh-CN"/>
        </w:rPr>
        <w:t>1</w:t>
      </w:r>
      <w:r>
        <w:rPr>
          <w:rFonts w:ascii="黑体" w:hAnsi="黑体" w:eastAsia="黑体"/>
          <w:kern w:val="2"/>
          <w:sz w:val="28"/>
          <w:szCs w:val="28"/>
        </w:rPr>
        <w:t xml:space="preserve"> </w:t>
      </w:r>
      <w:r>
        <w:rPr>
          <w:rFonts w:hint="eastAsia" w:ascii="黑体" w:hAnsi="黑体" w:eastAsia="黑体"/>
          <w:kern w:val="2"/>
          <w:sz w:val="28"/>
          <w:szCs w:val="28"/>
        </w:rPr>
        <w:t>现场核查项目清单</w:t>
      </w:r>
    </w:p>
    <w:tbl>
      <w:tblPr>
        <w:tblStyle w:val="12"/>
        <w:tblW w:w="872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04"/>
        <w:gridCol w:w="1320"/>
        <w:gridCol w:w="5325"/>
        <w:gridCol w:w="15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序号</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主管部门</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项目名称</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涉农资金投入额（万元）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交通运输局</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Y242线新村至乐村坪通建制村公路单改双工程（通建制村单改双）</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60.63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C434线转溪桥维修加固工程（危旧桥改造）</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Y483线岭头桥改建工程</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48.10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乌石镇坑口村委毛屋桥危桥改造工程</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161.55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5</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Y359线隔坑口桥改建工程（危旧桥改造）</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28.41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6</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曲江区2023年农村公路日常养护工程（日常养护）</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228.56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7</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文化广电旅游体育局</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韶关市曲江区行政村综合性文化服务中心达标建设</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8</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农业农村局</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韶关市曲江区马坝油粘水稻安全生产技术示范项目</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70.00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9</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韶关市曲江区2023年种植结构调整补助项目</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247.80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10</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韶关市曲江区2023年受污染耕地信息管理项目</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142.00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11</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2023年度韶关市曲江区高标准农田改造提升建设项目</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2706.00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12</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韶关市曲江区2023年全域推进农村人居环境整治建设生态宜居美丽乡村及综合开发利用项目（美丽乡村建设）</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160.67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13</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水务局</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曲江区乌石镇坑口村委曹屋农田基础设施建设工程</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45.50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14</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曲江区水毁饮水工程修复及提升改造项目</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100.00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2"/>
                <w:szCs w:val="22"/>
                <w:u w:val="none"/>
                <w:lang w:val="en-US"/>
              </w:rPr>
            </w:pPr>
            <w:r>
              <w:rPr>
                <w:rFonts w:hint="eastAsia" w:ascii="仿宋_GB2312" w:hAnsi="仿宋_GB2312" w:eastAsia="仿宋_GB2312" w:cs="仿宋_GB2312"/>
                <w:i w:val="0"/>
                <w:iCs w:val="0"/>
                <w:color w:val="000000"/>
                <w:kern w:val="0"/>
                <w:sz w:val="22"/>
                <w:szCs w:val="22"/>
                <w:u w:val="none"/>
                <w:lang w:val="en-US" w:eastAsia="zh-CN" w:bidi="ar"/>
              </w:rPr>
              <w:t>15</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住房和城乡建设管理局</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2023年曲江区樟市镇美丽圩镇建设项目</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101.45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2"/>
                <w:szCs w:val="22"/>
                <w:u w:val="none"/>
                <w:lang w:val="en-US"/>
              </w:rPr>
            </w:pPr>
            <w:r>
              <w:rPr>
                <w:rFonts w:hint="eastAsia" w:ascii="仿宋_GB2312" w:hAnsi="仿宋_GB2312" w:eastAsia="仿宋_GB2312" w:cs="仿宋_GB2312"/>
                <w:i w:val="0"/>
                <w:iCs w:val="0"/>
                <w:color w:val="000000"/>
                <w:kern w:val="0"/>
                <w:sz w:val="22"/>
                <w:szCs w:val="22"/>
                <w:u w:val="none"/>
                <w:lang w:val="en-US" w:eastAsia="zh-CN" w:bidi="ar"/>
              </w:rPr>
              <w:t>16</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镇级生活污水处理设施第三方运维费</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500.00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14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合       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2"/>
                <w:szCs w:val="22"/>
                <w:u w:val="none"/>
                <w:lang w:val="en-US" w:eastAsia="zh-CN"/>
              </w:rPr>
            </w:pPr>
            <w:r>
              <w:rPr>
                <w:rFonts w:hint="eastAsia" w:ascii="仿宋_GB2312" w:hAnsi="仿宋_GB2312" w:eastAsia="仿宋_GB2312" w:cs="仿宋_GB2312"/>
                <w:i w:val="0"/>
                <w:iCs w:val="0"/>
                <w:color w:val="000000"/>
                <w:sz w:val="22"/>
                <w:szCs w:val="22"/>
                <w:u w:val="none"/>
                <w:lang w:val="en-US" w:eastAsia="zh-CN"/>
              </w:rPr>
              <w:t>4710.68</w:t>
            </w:r>
          </w:p>
        </w:tc>
      </w:tr>
    </w:tbl>
    <w:p>
      <w:pPr>
        <w:pStyle w:val="1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现场核查项目金额合计</w:t>
      </w:r>
      <w:r>
        <w:rPr>
          <w:rFonts w:hint="eastAsia" w:ascii="仿宋_GB2312" w:hAnsi="仿宋_GB2312" w:eastAsia="仿宋_GB2312" w:cs="仿宋_GB2312"/>
          <w:sz w:val="32"/>
          <w:szCs w:val="32"/>
          <w:lang w:val="en-US" w:eastAsia="zh-CN"/>
        </w:rPr>
        <w:t>4710.68</w:t>
      </w:r>
      <w:r>
        <w:rPr>
          <w:rFonts w:hint="eastAsia" w:ascii="仿宋_GB2312" w:hAnsi="仿宋_GB2312" w:eastAsia="仿宋_GB2312" w:cs="仿宋_GB2312"/>
          <w:sz w:val="32"/>
          <w:szCs w:val="32"/>
          <w:lang w:eastAsia="zh-CN"/>
        </w:rPr>
        <w:t>万元，占</w:t>
      </w:r>
      <w:r>
        <w:rPr>
          <w:rFonts w:hint="eastAsia" w:ascii="仿宋_GB2312" w:hAnsi="仿宋_GB2312" w:eastAsia="仿宋_GB2312" w:cs="仿宋_GB2312"/>
          <w:sz w:val="32"/>
          <w:szCs w:val="32"/>
          <w:lang w:val="en-US" w:eastAsia="zh-CN"/>
        </w:rPr>
        <w:t>曲江区2023年</w:t>
      </w:r>
      <w:r>
        <w:rPr>
          <w:rFonts w:hint="eastAsia" w:ascii="仿宋_GB2312" w:hAnsi="仿宋_GB2312" w:eastAsia="仿宋_GB2312" w:cs="仿宋_GB2312"/>
          <w:sz w:val="32"/>
          <w:szCs w:val="32"/>
          <w:lang w:eastAsia="zh-CN"/>
        </w:rPr>
        <w:t>省级涉农统筹整合转移支付资金总额的</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lang w:eastAsia="zh-CN"/>
        </w:rPr>
        <w:t>%。</w:t>
      </w:r>
    </w:p>
    <w:p>
      <w:pPr>
        <w:ind w:firstLine="642" w:firstLineChars="200"/>
        <w:rPr>
          <w:rFonts w:hint="eastAsia" w:ascii="楷体_GB2312" w:hAnsi="楷体_GB2312" w:eastAsia="楷体_GB2312" w:cs="楷体_GB2312"/>
          <w:b/>
          <w:bCs/>
          <w:kern w:val="2"/>
          <w:sz w:val="32"/>
        </w:rPr>
      </w:pPr>
      <w:r>
        <w:rPr>
          <w:rFonts w:hint="eastAsia" w:ascii="楷体_GB2312" w:hAnsi="楷体_GB2312" w:eastAsia="楷体_GB2312" w:cs="楷体_GB2312"/>
          <w:b/>
          <w:bCs/>
          <w:kern w:val="2"/>
          <w:sz w:val="32"/>
        </w:rPr>
        <w:t>（四）综合分析评价</w:t>
      </w:r>
    </w:p>
    <w:p>
      <w:pPr>
        <w:ind w:firstLine="640" w:firstLineChars="200"/>
        <w:rPr>
          <w:rFonts w:hint="eastAsia" w:ascii="仿宋_GB2312" w:hAnsi="仿宋_GB2312" w:eastAsia="仿宋_GB2312" w:cs="仿宋_GB2312"/>
          <w:kern w:val="2"/>
          <w:sz w:val="32"/>
        </w:rPr>
      </w:pPr>
      <w:r>
        <w:rPr>
          <w:rFonts w:hint="eastAsia" w:ascii="仿宋_GB2312" w:hAnsi="仿宋_GB2312" w:eastAsia="仿宋_GB2312" w:cs="仿宋_GB2312"/>
          <w:kern w:val="2"/>
          <w:sz w:val="32"/>
        </w:rPr>
        <w:t>评价工作组对采集的评价相关基础数据资料进行整理汇总，结合现场勘验核实等情况，对</w:t>
      </w:r>
      <w:r>
        <w:rPr>
          <w:rFonts w:hint="eastAsia" w:ascii="仿宋_GB2312" w:hAnsi="仿宋_GB2312" w:eastAsia="仿宋_GB2312" w:cs="仿宋_GB2312"/>
          <w:kern w:val="2"/>
          <w:sz w:val="32"/>
          <w:lang w:eastAsia="zh-CN"/>
        </w:rPr>
        <w:t>2023</w:t>
      </w:r>
      <w:r>
        <w:rPr>
          <w:rFonts w:hint="eastAsia" w:ascii="仿宋_GB2312" w:hAnsi="仿宋_GB2312" w:eastAsia="仿宋_GB2312" w:cs="仿宋_GB2312"/>
          <w:kern w:val="2"/>
          <w:sz w:val="32"/>
        </w:rPr>
        <w:t>年</w:t>
      </w:r>
      <w:r>
        <w:rPr>
          <w:rFonts w:hint="eastAsia" w:ascii="仿宋_GB2312" w:hAnsi="仿宋_GB2312" w:eastAsia="仿宋_GB2312" w:cs="仿宋_GB2312"/>
          <w:kern w:val="2"/>
          <w:sz w:val="32"/>
          <w:lang w:eastAsia="zh-CN"/>
        </w:rPr>
        <w:t>曲江区</w:t>
      </w:r>
      <w:r>
        <w:rPr>
          <w:rFonts w:hint="eastAsia" w:ascii="仿宋_GB2312" w:hAnsi="仿宋_GB2312" w:eastAsia="仿宋_GB2312" w:cs="仿宋_GB2312"/>
          <w:sz w:val="32"/>
          <w:szCs w:val="32"/>
          <w:lang w:eastAsia="zh-CN"/>
        </w:rPr>
        <w:t>省级涉农统筹整合转移支付资金</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kern w:val="2"/>
          <w:sz w:val="32"/>
        </w:rPr>
        <w:t>使用、项目的组织实施以及实施的效果等情况进行多维度的全面分析，并采用项目预定目标与实施效果比较分析等方法进行综合评价，形成初步评价意见。</w:t>
      </w:r>
    </w:p>
    <w:p>
      <w:pPr>
        <w:ind w:firstLine="642" w:firstLineChars="200"/>
        <w:rPr>
          <w:rFonts w:hint="eastAsia" w:ascii="楷体_GB2312" w:hAnsi="楷体_GB2312" w:eastAsia="楷体_GB2312" w:cs="楷体_GB2312"/>
          <w:b/>
          <w:bCs/>
          <w:kern w:val="2"/>
          <w:sz w:val="32"/>
          <w:lang w:val="en-US" w:eastAsia="zh-CN"/>
        </w:rPr>
      </w:pPr>
      <w:r>
        <w:rPr>
          <w:rFonts w:hint="eastAsia" w:ascii="楷体_GB2312" w:hAnsi="楷体_GB2312" w:eastAsia="楷体_GB2312" w:cs="楷体_GB2312"/>
          <w:b/>
          <w:bCs/>
          <w:kern w:val="2"/>
          <w:sz w:val="32"/>
        </w:rPr>
        <w:t>（五）</w:t>
      </w:r>
      <w:r>
        <w:rPr>
          <w:rFonts w:hint="eastAsia" w:ascii="楷体_GB2312" w:hAnsi="楷体_GB2312" w:eastAsia="楷体_GB2312" w:cs="楷体_GB2312"/>
          <w:b/>
          <w:bCs/>
          <w:kern w:val="2"/>
          <w:sz w:val="32"/>
          <w:lang w:val="en-US" w:eastAsia="zh-CN"/>
        </w:rPr>
        <w:t>撰写报告</w:t>
      </w:r>
    </w:p>
    <w:p>
      <w:pPr>
        <w:ind w:firstLine="642" w:firstLineChars="200"/>
        <w:rPr>
          <w:rFonts w:hint="eastAsia" w:ascii="仿宋_GB2312" w:hAnsi="仿宋_GB2312" w:eastAsia="仿宋_GB2312" w:cs="仿宋_GB2312"/>
          <w:kern w:val="2"/>
          <w:sz w:val="32"/>
        </w:rPr>
      </w:pPr>
      <w:r>
        <w:rPr>
          <w:rFonts w:hint="eastAsia" w:ascii="仿宋_GB2312" w:hAnsi="仿宋_GB2312" w:eastAsia="仿宋_GB2312" w:cs="仿宋_GB2312"/>
          <w:b/>
          <w:bCs/>
          <w:kern w:val="2"/>
          <w:sz w:val="32"/>
        </w:rPr>
        <w:t>1</w:t>
      </w:r>
      <w:r>
        <w:rPr>
          <w:rFonts w:hint="eastAsia" w:ascii="仿宋_GB2312" w:hAnsi="仿宋_GB2312" w:eastAsia="仿宋_GB2312" w:cs="仿宋_GB2312"/>
          <w:b/>
          <w:bCs/>
          <w:kern w:val="2"/>
          <w:sz w:val="32"/>
          <w:lang w:val="en-US" w:eastAsia="zh-CN"/>
        </w:rPr>
        <w:t>.</w:t>
      </w:r>
      <w:r>
        <w:rPr>
          <w:rFonts w:hint="eastAsia" w:ascii="仿宋_GB2312" w:hAnsi="仿宋_GB2312" w:eastAsia="仿宋_GB2312" w:cs="仿宋_GB2312"/>
          <w:b/>
          <w:bCs/>
          <w:kern w:val="2"/>
          <w:sz w:val="32"/>
        </w:rPr>
        <w:t>完成评价报告初稿：</w:t>
      </w:r>
      <w:r>
        <w:rPr>
          <w:rFonts w:hint="eastAsia" w:ascii="仿宋_GB2312" w:hAnsi="仿宋_GB2312" w:eastAsia="仿宋_GB2312" w:cs="仿宋_GB2312"/>
          <w:kern w:val="2"/>
          <w:sz w:val="32"/>
        </w:rPr>
        <w:t>报告撰写的内容包括被评价对象的概述、评价指标分析、评价结论和存在问题分析及具体改进措施与建议等。根据评价得分，确定评价项目达到的档次，评价结果分为优、良、中、低、差五个档次。其中：优（</w:t>
      </w:r>
      <w:r>
        <w:rPr>
          <w:rFonts w:hint="eastAsia" w:ascii="仿宋_GB2312" w:hAnsi="仿宋_GB2312" w:eastAsia="仿宋_GB2312" w:cs="仿宋_GB2312"/>
          <w:kern w:val="2"/>
          <w:sz w:val="32"/>
          <w:lang w:val="en-US" w:eastAsia="zh-CN"/>
        </w:rPr>
        <w:t>≥</w:t>
      </w:r>
      <w:r>
        <w:rPr>
          <w:rFonts w:hint="eastAsia" w:ascii="仿宋_GB2312" w:hAnsi="仿宋_GB2312" w:eastAsia="仿宋_GB2312" w:cs="仿宋_GB2312"/>
          <w:kern w:val="2"/>
          <w:sz w:val="32"/>
        </w:rPr>
        <w:t>90分）、良（80</w:t>
      </w:r>
      <w:r>
        <w:rPr>
          <w:rFonts w:hint="eastAsia" w:ascii="仿宋_GB2312" w:hAnsi="仿宋_GB2312" w:eastAsia="仿宋_GB2312" w:cs="仿宋_GB2312"/>
          <w:kern w:val="2"/>
          <w:sz w:val="32"/>
          <w:lang w:val="en-US" w:eastAsia="zh-CN"/>
        </w:rPr>
        <w:t>≤</w:t>
      </w:r>
      <w:r>
        <w:rPr>
          <w:rFonts w:hint="eastAsia" w:ascii="仿宋_GB2312" w:hAnsi="仿宋_GB2312" w:eastAsia="仿宋_GB2312" w:cs="仿宋_GB2312"/>
          <w:kern w:val="2"/>
          <w:sz w:val="32"/>
        </w:rPr>
        <w:t>X&lt;90）、中（70</w:t>
      </w:r>
      <w:r>
        <w:rPr>
          <w:rFonts w:hint="eastAsia" w:ascii="仿宋_GB2312" w:hAnsi="仿宋_GB2312" w:eastAsia="仿宋_GB2312" w:cs="仿宋_GB2312"/>
          <w:kern w:val="2"/>
          <w:sz w:val="32"/>
          <w:lang w:val="en-US" w:eastAsia="zh-CN"/>
        </w:rPr>
        <w:t>≤</w:t>
      </w:r>
      <w:r>
        <w:rPr>
          <w:rFonts w:hint="eastAsia" w:ascii="仿宋_GB2312" w:hAnsi="仿宋_GB2312" w:eastAsia="仿宋_GB2312" w:cs="仿宋_GB2312"/>
          <w:kern w:val="2"/>
          <w:sz w:val="32"/>
        </w:rPr>
        <w:t>X&lt;80）、低（60</w:t>
      </w:r>
      <w:r>
        <w:rPr>
          <w:rFonts w:hint="eastAsia" w:ascii="仿宋_GB2312" w:hAnsi="仿宋_GB2312" w:eastAsia="仿宋_GB2312" w:cs="仿宋_GB2312"/>
          <w:kern w:val="2"/>
          <w:sz w:val="32"/>
          <w:lang w:val="en-US" w:eastAsia="zh-CN"/>
        </w:rPr>
        <w:t>≤</w:t>
      </w:r>
      <w:r>
        <w:rPr>
          <w:rFonts w:hint="eastAsia" w:ascii="仿宋_GB2312" w:hAnsi="仿宋_GB2312" w:eastAsia="仿宋_GB2312" w:cs="仿宋_GB2312"/>
          <w:kern w:val="2"/>
          <w:sz w:val="32"/>
        </w:rPr>
        <w:t>X&lt;70）、差（&lt;60分）。按规定的时间提交评价报告，并对所出具报告的客观、真实性负责。</w:t>
      </w:r>
    </w:p>
    <w:p>
      <w:pPr>
        <w:ind w:firstLine="642" w:firstLineChars="200"/>
        <w:rPr>
          <w:b/>
          <w:bCs/>
          <w:sz w:val="32"/>
          <w:szCs w:val="32"/>
        </w:rPr>
      </w:pPr>
      <w:r>
        <w:rPr>
          <w:rFonts w:hint="eastAsia" w:ascii="仿宋_GB2312" w:hAnsi="仿宋_GB2312" w:eastAsia="仿宋_GB2312" w:cs="仿宋_GB2312"/>
          <w:b/>
          <w:bCs/>
          <w:kern w:val="2"/>
          <w:sz w:val="32"/>
          <w:lang w:eastAsia="zh-CN"/>
        </w:rPr>
        <w:t>2</w:t>
      </w:r>
      <w:r>
        <w:rPr>
          <w:rFonts w:hint="eastAsia" w:ascii="仿宋_GB2312" w:hAnsi="仿宋_GB2312" w:eastAsia="仿宋_GB2312" w:cs="仿宋_GB2312"/>
          <w:b/>
          <w:bCs/>
          <w:kern w:val="2"/>
          <w:sz w:val="32"/>
          <w:lang w:val="en-US" w:eastAsia="zh-CN"/>
        </w:rPr>
        <w:t>.</w:t>
      </w:r>
      <w:r>
        <w:rPr>
          <w:rFonts w:hint="eastAsia" w:ascii="仿宋_GB2312" w:hAnsi="仿宋_GB2312" w:eastAsia="仿宋_GB2312" w:cs="仿宋_GB2312"/>
          <w:b/>
          <w:bCs/>
          <w:kern w:val="2"/>
          <w:sz w:val="32"/>
        </w:rPr>
        <w:t>征求被评价单位意见：</w:t>
      </w:r>
      <w:r>
        <w:rPr>
          <w:rFonts w:hint="eastAsia" w:ascii="仿宋_GB2312" w:hAnsi="仿宋_GB2312" w:eastAsia="仿宋_GB2312" w:cs="仿宋_GB2312"/>
          <w:kern w:val="2"/>
          <w:sz w:val="32"/>
        </w:rPr>
        <w:t>评价报告经</w:t>
      </w:r>
      <w:r>
        <w:rPr>
          <w:rFonts w:hint="eastAsia" w:ascii="仿宋_GB2312" w:hAnsi="仿宋_GB2312" w:eastAsia="仿宋_GB2312" w:cs="仿宋_GB2312"/>
          <w:kern w:val="2"/>
          <w:sz w:val="32"/>
          <w:lang w:eastAsia="zh-CN"/>
        </w:rPr>
        <w:t>曲江区</w:t>
      </w:r>
      <w:r>
        <w:rPr>
          <w:rFonts w:hint="eastAsia" w:ascii="仿宋_GB2312" w:hAnsi="仿宋_GB2312" w:eastAsia="仿宋_GB2312" w:cs="仿宋_GB2312"/>
          <w:kern w:val="2"/>
          <w:sz w:val="32"/>
        </w:rPr>
        <w:t>财政局初审并和被评价单位交换意见后，再</w:t>
      </w:r>
      <w:r>
        <w:rPr>
          <w:rFonts w:hint="eastAsia" w:ascii="仿宋_GB2312" w:hAnsi="仿宋_GB2312" w:eastAsia="仿宋_GB2312" w:cs="仿宋_GB2312"/>
          <w:kern w:val="2"/>
          <w:sz w:val="32"/>
          <w:lang w:val="en-US" w:eastAsia="zh-CN"/>
        </w:rPr>
        <w:t>根据达成一致的意见</w:t>
      </w:r>
      <w:r>
        <w:rPr>
          <w:rFonts w:hint="eastAsia" w:ascii="仿宋_GB2312" w:hAnsi="仿宋_GB2312" w:eastAsia="仿宋_GB2312" w:cs="仿宋_GB2312"/>
          <w:kern w:val="2"/>
          <w:sz w:val="32"/>
        </w:rPr>
        <w:t>进行修改，形成正式评价报告。</w:t>
      </w:r>
    </w:p>
    <w:p>
      <w:pPr>
        <w:rPr>
          <w:b/>
          <w:bCs/>
          <w:sz w:val="32"/>
          <w:szCs w:val="32"/>
        </w:rPr>
      </w:pPr>
    </w:p>
    <w:p>
      <w:pPr>
        <w:rPr>
          <w:b/>
          <w:bCs/>
          <w:sz w:val="32"/>
          <w:szCs w:val="32"/>
        </w:rPr>
      </w:pPr>
    </w:p>
    <w:p>
      <w:pPr>
        <w:rPr>
          <w:b/>
          <w:bCs/>
          <w:sz w:val="32"/>
          <w:szCs w:val="32"/>
        </w:rPr>
      </w:pPr>
    </w:p>
    <w:p>
      <w:pPr>
        <w:rPr>
          <w:b/>
          <w:bCs/>
          <w:sz w:val="32"/>
          <w:szCs w:val="32"/>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spacing w:line="360" w:lineRule="auto"/>
        <w:jc w:val="left"/>
        <w:outlineLvl w:val="0"/>
        <w:rPr>
          <w:rFonts w:hint="eastAsia" w:ascii="仿宋_GB2312" w:hAnsi="仿宋_GB2312" w:eastAsia="仿宋_GB2312" w:cs="仿宋_GB2312"/>
          <w:sz w:val="32"/>
          <w:szCs w:val="32"/>
        </w:rPr>
      </w:pPr>
      <w:bookmarkStart w:id="64" w:name="_Toc96960277"/>
      <w:r>
        <w:rPr>
          <w:rFonts w:hint="eastAsia" w:ascii="仿宋_GB2312" w:hAnsi="仿宋_GB2312" w:eastAsia="仿宋_GB2312" w:cs="仿宋_GB2312"/>
          <w:sz w:val="32"/>
          <w:szCs w:val="32"/>
        </w:rPr>
        <w:t>附件2：</w:t>
      </w:r>
    </w:p>
    <w:p>
      <w:pPr>
        <w:spacing w:line="360" w:lineRule="auto"/>
        <w:ind w:firstLine="640" w:firstLineChars="200"/>
        <w:jc w:val="center"/>
        <w:outlineLvl w:val="0"/>
        <w:rPr>
          <w:rFonts w:ascii="Times New Roman" w:hAnsi="Times New Roman" w:eastAsia="黑体" w:cs="Times New Roman"/>
          <w:sz w:val="32"/>
          <w:szCs w:val="32"/>
        </w:rPr>
      </w:pPr>
      <w:r>
        <w:rPr>
          <w:rFonts w:hint="eastAsia" w:ascii="黑体" w:hAnsi="黑体" w:eastAsia="黑体" w:cs="黑体"/>
          <w:sz w:val="32"/>
          <w:szCs w:val="32"/>
        </w:rPr>
        <w:t>韶关市曲江区</w:t>
      </w:r>
      <w:r>
        <w:rPr>
          <w:rFonts w:hint="eastAsia" w:ascii="黑体" w:hAnsi="黑体" w:eastAsia="黑体" w:cs="黑体"/>
          <w:sz w:val="32"/>
          <w:szCs w:val="32"/>
          <w:lang w:eastAsia="zh-CN"/>
        </w:rPr>
        <w:t>2023</w:t>
      </w:r>
      <w:r>
        <w:rPr>
          <w:rFonts w:hint="eastAsia" w:ascii="黑体" w:hAnsi="黑体" w:eastAsia="黑体" w:cs="黑体"/>
          <w:sz w:val="32"/>
          <w:szCs w:val="32"/>
        </w:rPr>
        <w:t>年省级涉农统筹整合转移支付资金</w:t>
      </w:r>
      <w:r>
        <w:rPr>
          <w:rFonts w:hint="eastAsia" w:ascii="Times New Roman" w:hAnsi="Times New Roman" w:eastAsia="黑体" w:cs="Times New Roman"/>
          <w:sz w:val="32"/>
          <w:szCs w:val="32"/>
        </w:rPr>
        <w:t>绩效评价指标表</w:t>
      </w:r>
      <w:bookmarkEnd w:id="64"/>
    </w:p>
    <w:tbl>
      <w:tblPr>
        <w:tblStyle w:val="12"/>
        <w:tblW w:w="146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645"/>
        <w:gridCol w:w="540"/>
        <w:gridCol w:w="615"/>
        <w:gridCol w:w="945"/>
        <w:gridCol w:w="660"/>
        <w:gridCol w:w="1320"/>
        <w:gridCol w:w="611"/>
        <w:gridCol w:w="3184"/>
        <w:gridCol w:w="4725"/>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949" w:type="dxa"/>
            <w:gridSpan w:val="8"/>
            <w:noWrap w:val="0"/>
            <w:vAlign w:val="center"/>
          </w:tcPr>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评价指标</w:t>
            </w:r>
          </w:p>
        </w:tc>
        <w:tc>
          <w:tcPr>
            <w:tcW w:w="3184" w:type="dxa"/>
            <w:vMerge w:val="restart"/>
            <w:noWrap w:val="0"/>
            <w:vAlign w:val="center"/>
          </w:tcPr>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指标说明</w:t>
            </w:r>
          </w:p>
        </w:tc>
        <w:tc>
          <w:tcPr>
            <w:tcW w:w="4725" w:type="dxa"/>
            <w:vMerge w:val="restart"/>
            <w:noWrap w:val="0"/>
            <w:vAlign w:val="center"/>
          </w:tcPr>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评分标准</w:t>
            </w:r>
          </w:p>
        </w:tc>
        <w:tc>
          <w:tcPr>
            <w:tcW w:w="810" w:type="dxa"/>
            <w:vMerge w:val="restart"/>
            <w:noWrap w:val="0"/>
            <w:vAlign w:val="center"/>
          </w:tcPr>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第三方机构评分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258" w:type="dxa"/>
            <w:gridSpan w:val="2"/>
            <w:noWrap w:val="0"/>
            <w:vAlign w:val="center"/>
          </w:tcPr>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一级</w:t>
            </w:r>
          </w:p>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指标</w:t>
            </w:r>
          </w:p>
        </w:tc>
        <w:tc>
          <w:tcPr>
            <w:tcW w:w="1155" w:type="dxa"/>
            <w:gridSpan w:val="2"/>
            <w:noWrap w:val="0"/>
            <w:vAlign w:val="center"/>
          </w:tcPr>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二级</w:t>
            </w:r>
          </w:p>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指标</w:t>
            </w:r>
          </w:p>
        </w:tc>
        <w:tc>
          <w:tcPr>
            <w:tcW w:w="1605" w:type="dxa"/>
            <w:gridSpan w:val="2"/>
            <w:noWrap w:val="0"/>
            <w:vAlign w:val="center"/>
          </w:tcPr>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三级</w:t>
            </w:r>
          </w:p>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指标</w:t>
            </w:r>
          </w:p>
        </w:tc>
        <w:tc>
          <w:tcPr>
            <w:tcW w:w="1931" w:type="dxa"/>
            <w:gridSpan w:val="2"/>
            <w:noWrap w:val="0"/>
            <w:vAlign w:val="center"/>
          </w:tcPr>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四级</w:t>
            </w:r>
          </w:p>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指标　</w:t>
            </w:r>
          </w:p>
        </w:tc>
        <w:tc>
          <w:tcPr>
            <w:tcW w:w="3184" w:type="dxa"/>
            <w:vMerge w:val="continue"/>
            <w:noWrap w:val="0"/>
            <w:vAlign w:val="center"/>
          </w:tcPr>
          <w:p>
            <w:pPr>
              <w:widowControl/>
              <w:spacing w:line="320" w:lineRule="exact"/>
              <w:jc w:val="left"/>
              <w:rPr>
                <w:rFonts w:eastAsia="仿宋_GB2312" w:cs="Times New Roman"/>
                <w:b/>
                <w:bCs/>
                <w:kern w:val="0"/>
                <w:sz w:val="24"/>
                <w:szCs w:val="24"/>
              </w:rPr>
            </w:pPr>
          </w:p>
        </w:tc>
        <w:tc>
          <w:tcPr>
            <w:tcW w:w="4725" w:type="dxa"/>
            <w:vMerge w:val="continue"/>
            <w:noWrap w:val="0"/>
            <w:vAlign w:val="center"/>
          </w:tcPr>
          <w:p>
            <w:pPr>
              <w:widowControl/>
              <w:spacing w:line="320" w:lineRule="exact"/>
              <w:jc w:val="left"/>
              <w:rPr>
                <w:rFonts w:eastAsia="仿宋_GB2312" w:cs="Times New Roman"/>
                <w:b/>
                <w:bCs/>
                <w:kern w:val="0"/>
                <w:sz w:val="24"/>
                <w:szCs w:val="24"/>
              </w:rPr>
            </w:pPr>
          </w:p>
        </w:tc>
        <w:tc>
          <w:tcPr>
            <w:tcW w:w="810" w:type="dxa"/>
            <w:vMerge w:val="continue"/>
            <w:noWrap w:val="0"/>
            <w:vAlign w:val="center"/>
          </w:tcPr>
          <w:p>
            <w:pPr>
              <w:widowControl/>
              <w:spacing w:line="320" w:lineRule="exact"/>
              <w:jc w:val="left"/>
              <w:rPr>
                <w:rFonts w:eastAsia="仿宋_GB2312" w:cs="Times New Roman"/>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613"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名称</w:t>
            </w:r>
          </w:p>
        </w:tc>
        <w:tc>
          <w:tcPr>
            <w:tcW w:w="645"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权重</w:t>
            </w:r>
            <w:r>
              <w:rPr>
                <w:rFonts w:hint="eastAsia" w:eastAsia="仿宋_GB2312" w:cs="Times New Roman"/>
                <w:kern w:val="0"/>
                <w:sz w:val="24"/>
                <w:szCs w:val="24"/>
                <w:lang w:eastAsia="zh-CN"/>
              </w:rPr>
              <w:t>（</w:t>
            </w:r>
            <w:r>
              <w:rPr>
                <w:rFonts w:eastAsia="仿宋_GB2312" w:cs="Times New Roman"/>
                <w:kern w:val="0"/>
                <w:sz w:val="24"/>
                <w:szCs w:val="24"/>
              </w:rPr>
              <w:t>%)</w:t>
            </w:r>
          </w:p>
        </w:tc>
        <w:tc>
          <w:tcPr>
            <w:tcW w:w="540"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名称</w:t>
            </w:r>
          </w:p>
        </w:tc>
        <w:tc>
          <w:tcPr>
            <w:tcW w:w="615"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权重</w:t>
            </w:r>
            <w:r>
              <w:rPr>
                <w:rFonts w:hint="eastAsia" w:eastAsia="仿宋_GB2312" w:cs="Times New Roman"/>
                <w:kern w:val="0"/>
                <w:sz w:val="24"/>
                <w:szCs w:val="24"/>
                <w:lang w:eastAsia="zh-CN"/>
              </w:rPr>
              <w:t>（</w:t>
            </w:r>
            <w:r>
              <w:rPr>
                <w:rFonts w:eastAsia="仿宋_GB2312" w:cs="Times New Roman"/>
                <w:kern w:val="0"/>
                <w:sz w:val="24"/>
                <w:szCs w:val="24"/>
              </w:rPr>
              <w:t>%)</w:t>
            </w:r>
          </w:p>
        </w:tc>
        <w:tc>
          <w:tcPr>
            <w:tcW w:w="945"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名称</w:t>
            </w:r>
          </w:p>
        </w:tc>
        <w:tc>
          <w:tcPr>
            <w:tcW w:w="660"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权重</w:t>
            </w:r>
            <w:r>
              <w:rPr>
                <w:rFonts w:hint="eastAsia" w:eastAsia="仿宋_GB2312" w:cs="Times New Roman"/>
                <w:kern w:val="0"/>
                <w:sz w:val="24"/>
                <w:szCs w:val="24"/>
                <w:lang w:eastAsia="zh-CN"/>
              </w:rPr>
              <w:t>（</w:t>
            </w:r>
            <w:r>
              <w:rPr>
                <w:rFonts w:eastAsia="仿宋_GB2312" w:cs="Times New Roman"/>
                <w:kern w:val="0"/>
                <w:sz w:val="24"/>
                <w:szCs w:val="24"/>
              </w:rPr>
              <w:t>%)</w:t>
            </w:r>
          </w:p>
        </w:tc>
        <w:tc>
          <w:tcPr>
            <w:tcW w:w="1320"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名称</w:t>
            </w:r>
          </w:p>
        </w:tc>
        <w:tc>
          <w:tcPr>
            <w:tcW w:w="611"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权重</w:t>
            </w:r>
            <w:r>
              <w:rPr>
                <w:rFonts w:hint="eastAsia" w:eastAsia="仿宋_GB2312" w:cs="Times New Roman"/>
                <w:kern w:val="0"/>
                <w:sz w:val="24"/>
                <w:szCs w:val="24"/>
                <w:lang w:eastAsia="zh-CN"/>
              </w:rPr>
              <w:t>（</w:t>
            </w:r>
            <w:r>
              <w:rPr>
                <w:rFonts w:eastAsia="仿宋_GB2312" w:cs="Times New Roman"/>
                <w:kern w:val="0"/>
                <w:sz w:val="24"/>
                <w:szCs w:val="24"/>
              </w:rPr>
              <w:t>%)</w:t>
            </w:r>
          </w:p>
        </w:tc>
        <w:tc>
          <w:tcPr>
            <w:tcW w:w="3184" w:type="dxa"/>
            <w:vMerge w:val="continue"/>
            <w:noWrap w:val="0"/>
            <w:vAlign w:val="center"/>
          </w:tcPr>
          <w:p>
            <w:pPr>
              <w:widowControl/>
              <w:spacing w:line="320" w:lineRule="exact"/>
              <w:jc w:val="left"/>
              <w:rPr>
                <w:rFonts w:eastAsia="仿宋_GB2312" w:cs="Times New Roman"/>
                <w:b/>
                <w:bCs/>
                <w:kern w:val="0"/>
                <w:sz w:val="24"/>
                <w:szCs w:val="24"/>
              </w:rPr>
            </w:pPr>
          </w:p>
        </w:tc>
        <w:tc>
          <w:tcPr>
            <w:tcW w:w="4725" w:type="dxa"/>
            <w:vMerge w:val="continue"/>
            <w:noWrap w:val="0"/>
            <w:vAlign w:val="center"/>
          </w:tcPr>
          <w:p>
            <w:pPr>
              <w:widowControl/>
              <w:spacing w:line="320" w:lineRule="exact"/>
              <w:jc w:val="left"/>
              <w:rPr>
                <w:rFonts w:eastAsia="仿宋_GB2312" w:cs="Times New Roman"/>
                <w:b/>
                <w:bCs/>
                <w:kern w:val="0"/>
                <w:sz w:val="24"/>
                <w:szCs w:val="24"/>
              </w:rPr>
            </w:pPr>
          </w:p>
        </w:tc>
        <w:tc>
          <w:tcPr>
            <w:tcW w:w="810" w:type="dxa"/>
            <w:vMerge w:val="continue"/>
            <w:noWrap w:val="0"/>
            <w:vAlign w:val="center"/>
          </w:tcPr>
          <w:p>
            <w:pPr>
              <w:widowControl/>
              <w:spacing w:line="320" w:lineRule="exact"/>
              <w:jc w:val="left"/>
              <w:rPr>
                <w:rFonts w:eastAsia="仿宋_GB2312" w:cs="Times New Roman"/>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613" w:type="dxa"/>
            <w:vMerge w:val="restart"/>
            <w:noWrap w:val="0"/>
            <w:vAlign w:val="center"/>
          </w:tcPr>
          <w:p>
            <w:pPr>
              <w:widowControl/>
              <w:spacing w:line="320" w:lineRule="exact"/>
              <w:jc w:val="center"/>
              <w:rPr>
                <w:rFonts w:hint="eastAsia" w:eastAsia="仿宋_GB2312" w:cs="Times New Roman"/>
                <w:kern w:val="0"/>
                <w:sz w:val="24"/>
                <w:szCs w:val="24"/>
                <w:lang w:eastAsia="zh-CN"/>
              </w:rPr>
            </w:pPr>
            <w:r>
              <w:rPr>
                <w:rFonts w:hint="eastAsia" w:eastAsia="仿宋_GB2312" w:cs="Times New Roman"/>
                <w:kern w:val="0"/>
                <w:sz w:val="24"/>
                <w:szCs w:val="24"/>
                <w:lang w:val="en-US" w:eastAsia="zh-CN"/>
              </w:rPr>
              <w:t>决策</w:t>
            </w:r>
          </w:p>
        </w:tc>
        <w:tc>
          <w:tcPr>
            <w:tcW w:w="645"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20</w:t>
            </w:r>
          </w:p>
        </w:tc>
        <w:tc>
          <w:tcPr>
            <w:tcW w:w="540"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项目立项</w:t>
            </w:r>
          </w:p>
        </w:tc>
        <w:tc>
          <w:tcPr>
            <w:tcW w:w="615"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12</w:t>
            </w:r>
          </w:p>
        </w:tc>
        <w:tc>
          <w:tcPr>
            <w:tcW w:w="945"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论证</w:t>
            </w:r>
          </w:p>
          <w:p>
            <w:pPr>
              <w:widowControl/>
              <w:spacing w:line="320" w:lineRule="exact"/>
              <w:jc w:val="center"/>
              <w:rPr>
                <w:rFonts w:eastAsia="仿宋_GB2312" w:cs="Times New Roman"/>
                <w:kern w:val="0"/>
                <w:sz w:val="24"/>
                <w:szCs w:val="24"/>
              </w:rPr>
            </w:pPr>
            <w:r>
              <w:rPr>
                <w:rFonts w:eastAsia="仿宋_GB2312" w:cs="Times New Roman"/>
                <w:kern w:val="0"/>
                <w:sz w:val="24"/>
                <w:szCs w:val="24"/>
              </w:rPr>
              <w:t>决策</w:t>
            </w:r>
          </w:p>
        </w:tc>
        <w:tc>
          <w:tcPr>
            <w:tcW w:w="660"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4</w:t>
            </w:r>
          </w:p>
        </w:tc>
        <w:tc>
          <w:tcPr>
            <w:tcW w:w="1320"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论证充分性</w:t>
            </w:r>
          </w:p>
        </w:tc>
        <w:tc>
          <w:tcPr>
            <w:tcW w:w="611"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4</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eastAsia="仿宋_GB2312" w:cs="Times New Roman"/>
                <w:kern w:val="0"/>
                <w:sz w:val="24"/>
                <w:szCs w:val="24"/>
              </w:rPr>
              <w:t>反映项目设立过程，论证的充分程度</w:t>
            </w:r>
            <w:r>
              <w:rPr>
                <w:rFonts w:hint="eastAsia" w:eastAsia="仿宋_GB2312" w:cs="Times New Roman"/>
                <w:kern w:val="0"/>
                <w:sz w:val="24"/>
                <w:szCs w:val="24"/>
                <w:lang w:eastAsia="zh-CN"/>
              </w:rPr>
              <w:t>。</w:t>
            </w:r>
          </w:p>
        </w:tc>
        <w:tc>
          <w:tcPr>
            <w:tcW w:w="4725" w:type="dxa"/>
            <w:noWrap w:val="0"/>
            <w:vAlign w:val="center"/>
          </w:tcPr>
          <w:p>
            <w:pPr>
              <w:widowControl/>
              <w:numPr>
                <w:ilvl w:val="0"/>
                <w:numId w:val="4"/>
              </w:numPr>
              <w:spacing w:line="320" w:lineRule="exact"/>
              <w:jc w:val="left"/>
              <w:rPr>
                <w:rFonts w:eastAsia="仿宋_GB2312" w:cs="Times New Roman"/>
                <w:kern w:val="0"/>
                <w:sz w:val="24"/>
                <w:szCs w:val="24"/>
              </w:rPr>
            </w:pPr>
            <w:r>
              <w:rPr>
                <w:rFonts w:eastAsia="仿宋_GB2312" w:cs="Times New Roman"/>
                <w:kern w:val="0"/>
                <w:sz w:val="24"/>
                <w:szCs w:val="24"/>
              </w:rPr>
              <w:t>具有前期可行性研究报告或摸底调查工作总结等文字材料，得2分；</w:t>
            </w:r>
          </w:p>
          <w:p>
            <w:pPr>
              <w:widowControl/>
              <w:numPr>
                <w:ilvl w:val="0"/>
                <w:numId w:val="4"/>
              </w:numPr>
              <w:spacing w:line="320" w:lineRule="exact"/>
              <w:jc w:val="left"/>
              <w:rPr>
                <w:rFonts w:eastAsia="仿宋_GB2312" w:cs="Times New Roman"/>
                <w:kern w:val="0"/>
                <w:sz w:val="24"/>
                <w:szCs w:val="24"/>
              </w:rPr>
            </w:pPr>
            <w:r>
              <w:rPr>
                <w:rFonts w:eastAsia="仿宋_GB2312" w:cs="Times New Roman"/>
                <w:kern w:val="0"/>
                <w:sz w:val="24"/>
                <w:szCs w:val="24"/>
              </w:rPr>
              <w:t xml:space="preserve">经过集体会议协调，并咨询相关专家意见，有文字材料，得2分。   </w:t>
            </w:r>
          </w:p>
          <w:p>
            <w:pPr>
              <w:widowControl/>
              <w:spacing w:line="320" w:lineRule="exact"/>
              <w:jc w:val="left"/>
              <w:rPr>
                <w:rFonts w:eastAsia="仿宋_GB2312" w:cs="Times New Roman"/>
                <w:kern w:val="0"/>
                <w:sz w:val="24"/>
                <w:szCs w:val="24"/>
              </w:rPr>
            </w:pPr>
            <w:r>
              <w:rPr>
                <w:rFonts w:eastAsia="仿宋_GB2312" w:cs="Times New Roman"/>
                <w:kern w:val="0"/>
                <w:sz w:val="24"/>
                <w:szCs w:val="24"/>
              </w:rPr>
              <w:t>如无，则根据实际情况核定分数。</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jc w:val="left"/>
              <w:rPr>
                <w:rFonts w:eastAsia="仿宋_GB2312" w:cs="Times New Roman"/>
                <w:kern w:val="0"/>
                <w:sz w:val="24"/>
                <w:szCs w:val="24"/>
              </w:rPr>
            </w:pPr>
          </w:p>
        </w:tc>
        <w:tc>
          <w:tcPr>
            <w:tcW w:w="615" w:type="dxa"/>
            <w:vMerge w:val="continue"/>
            <w:noWrap w:val="0"/>
            <w:vAlign w:val="center"/>
          </w:tcPr>
          <w:p>
            <w:pPr>
              <w:widowControl/>
              <w:spacing w:line="320" w:lineRule="exact"/>
              <w:jc w:val="left"/>
              <w:rPr>
                <w:rFonts w:eastAsia="仿宋_GB2312" w:cs="Times New Roman"/>
                <w:kern w:val="0"/>
                <w:sz w:val="24"/>
                <w:szCs w:val="24"/>
              </w:rPr>
            </w:pPr>
          </w:p>
        </w:tc>
        <w:tc>
          <w:tcPr>
            <w:tcW w:w="945"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目标</w:t>
            </w:r>
          </w:p>
          <w:p>
            <w:pPr>
              <w:widowControl/>
              <w:spacing w:line="320" w:lineRule="exact"/>
              <w:jc w:val="center"/>
              <w:rPr>
                <w:rFonts w:eastAsia="仿宋_GB2312" w:cs="Times New Roman"/>
                <w:kern w:val="0"/>
                <w:sz w:val="24"/>
                <w:szCs w:val="24"/>
              </w:rPr>
            </w:pPr>
            <w:r>
              <w:rPr>
                <w:rFonts w:eastAsia="仿宋_GB2312" w:cs="Times New Roman"/>
                <w:kern w:val="0"/>
                <w:sz w:val="24"/>
                <w:szCs w:val="24"/>
              </w:rPr>
              <w:t>设置</w:t>
            </w:r>
          </w:p>
        </w:tc>
        <w:tc>
          <w:tcPr>
            <w:tcW w:w="660"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6</w:t>
            </w:r>
          </w:p>
        </w:tc>
        <w:tc>
          <w:tcPr>
            <w:tcW w:w="1320"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完整性</w:t>
            </w:r>
          </w:p>
        </w:tc>
        <w:tc>
          <w:tcPr>
            <w:tcW w:w="611"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2</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eastAsia="仿宋_GB2312" w:cs="Times New Roman"/>
                <w:kern w:val="0"/>
                <w:sz w:val="24"/>
                <w:szCs w:val="24"/>
              </w:rPr>
              <w:t>反映目标设置是否包含总目标和阶段性目标，是否包括预期提供的公共产品或服务的产出数量、质量、成本内容，预期达到的</w:t>
            </w:r>
            <w:r>
              <w:rPr>
                <w:rFonts w:hint="eastAsia" w:eastAsia="仿宋_GB2312" w:cs="Times New Roman"/>
                <w:kern w:val="0"/>
                <w:sz w:val="24"/>
                <w:szCs w:val="24"/>
                <w:lang w:eastAsia="zh-CN"/>
              </w:rPr>
              <w:t>效果</w:t>
            </w:r>
            <w:r>
              <w:rPr>
                <w:rFonts w:eastAsia="仿宋_GB2312" w:cs="Times New Roman"/>
                <w:kern w:val="0"/>
                <w:sz w:val="24"/>
                <w:szCs w:val="24"/>
              </w:rPr>
              <w:t>等内容</w:t>
            </w:r>
            <w:r>
              <w:rPr>
                <w:rFonts w:hint="eastAsia" w:eastAsia="仿宋_GB2312" w:cs="Times New Roman"/>
                <w:kern w:val="0"/>
                <w:sz w:val="24"/>
                <w:szCs w:val="24"/>
                <w:lang w:eastAsia="zh-CN"/>
              </w:rPr>
              <w:t>。</w:t>
            </w:r>
          </w:p>
        </w:tc>
        <w:tc>
          <w:tcPr>
            <w:tcW w:w="4725"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依据相关基础信息和证据判断目标设置的完整性，即是否包含总目标和阶段性目标，是否包括预期提供的公共产品或服务的产出数量、质量、成本指标，预期达到的效果性指标，据此核定分数。</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jc w:val="left"/>
              <w:rPr>
                <w:rFonts w:eastAsia="仿宋_GB2312" w:cs="Times New Roman"/>
                <w:kern w:val="0"/>
                <w:sz w:val="24"/>
                <w:szCs w:val="24"/>
              </w:rPr>
            </w:pPr>
          </w:p>
        </w:tc>
        <w:tc>
          <w:tcPr>
            <w:tcW w:w="615" w:type="dxa"/>
            <w:vMerge w:val="continue"/>
            <w:noWrap w:val="0"/>
            <w:vAlign w:val="center"/>
          </w:tcPr>
          <w:p>
            <w:pPr>
              <w:widowControl/>
              <w:spacing w:line="320" w:lineRule="exact"/>
              <w:jc w:val="left"/>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left"/>
              <w:rPr>
                <w:rFonts w:eastAsia="仿宋_GB2312" w:cs="Times New Roman"/>
                <w:kern w:val="0"/>
                <w:sz w:val="24"/>
                <w:szCs w:val="24"/>
              </w:rPr>
            </w:pPr>
          </w:p>
        </w:tc>
        <w:tc>
          <w:tcPr>
            <w:tcW w:w="1320"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合理性</w:t>
            </w:r>
          </w:p>
        </w:tc>
        <w:tc>
          <w:tcPr>
            <w:tcW w:w="611"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2</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eastAsia="仿宋_GB2312" w:cs="Times New Roman"/>
                <w:kern w:val="0"/>
                <w:sz w:val="24"/>
                <w:szCs w:val="24"/>
              </w:rPr>
              <w:t>反映资金绩效目标设置是否明确，合理、细化，绩效目标是否与资金或项目属性特点、支出内容相关，体现决策意图，同时合乎客观实际</w:t>
            </w:r>
            <w:r>
              <w:rPr>
                <w:rFonts w:hint="eastAsia" w:eastAsia="仿宋_GB2312" w:cs="Times New Roman"/>
                <w:kern w:val="0"/>
                <w:sz w:val="24"/>
                <w:szCs w:val="24"/>
                <w:lang w:eastAsia="zh-CN"/>
              </w:rPr>
              <w:t>。</w:t>
            </w:r>
          </w:p>
        </w:tc>
        <w:tc>
          <w:tcPr>
            <w:tcW w:w="4725"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依据相关基础信息和证据判断目标设置的科学性，即绩效目标设置是否与资金或项目属性特点、支出内容相关，体现决策意图，同时合乎客观实际，据此核定分数。</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jc w:val="left"/>
              <w:rPr>
                <w:rFonts w:eastAsia="仿宋_GB2312" w:cs="Times New Roman"/>
                <w:kern w:val="0"/>
                <w:sz w:val="24"/>
                <w:szCs w:val="24"/>
              </w:rPr>
            </w:pPr>
          </w:p>
        </w:tc>
        <w:tc>
          <w:tcPr>
            <w:tcW w:w="615" w:type="dxa"/>
            <w:vMerge w:val="continue"/>
            <w:noWrap w:val="0"/>
            <w:vAlign w:val="center"/>
          </w:tcPr>
          <w:p>
            <w:pPr>
              <w:widowControl/>
              <w:spacing w:line="320" w:lineRule="exact"/>
              <w:jc w:val="left"/>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left"/>
              <w:rPr>
                <w:rFonts w:eastAsia="仿宋_GB2312" w:cs="Times New Roman"/>
                <w:kern w:val="0"/>
                <w:sz w:val="24"/>
                <w:szCs w:val="24"/>
              </w:rPr>
            </w:pPr>
          </w:p>
        </w:tc>
        <w:tc>
          <w:tcPr>
            <w:tcW w:w="1320"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可衡量性</w:t>
            </w:r>
          </w:p>
        </w:tc>
        <w:tc>
          <w:tcPr>
            <w:tcW w:w="611"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2</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eastAsia="仿宋_GB2312" w:cs="Times New Roman"/>
                <w:kern w:val="0"/>
                <w:sz w:val="24"/>
                <w:szCs w:val="24"/>
              </w:rPr>
              <w:t>反映资金绩效目标设置是否量化、是否包括可衡量的绩效指标</w:t>
            </w:r>
            <w:r>
              <w:rPr>
                <w:rFonts w:hint="eastAsia" w:eastAsia="仿宋_GB2312" w:cs="Times New Roman"/>
                <w:kern w:val="0"/>
                <w:sz w:val="24"/>
                <w:szCs w:val="24"/>
                <w:lang w:eastAsia="zh-CN"/>
              </w:rPr>
              <w:t>。</w:t>
            </w:r>
          </w:p>
        </w:tc>
        <w:tc>
          <w:tcPr>
            <w:tcW w:w="4725"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依据相关基础信息和证据判断目标设置的可衡量性，即绩效目标设置是否有数据支撑、是否有可衡量性的指标，据此核定分数。</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jc w:val="left"/>
              <w:rPr>
                <w:rFonts w:eastAsia="仿宋_GB2312" w:cs="Times New Roman"/>
                <w:kern w:val="0"/>
                <w:sz w:val="24"/>
                <w:szCs w:val="24"/>
              </w:rPr>
            </w:pPr>
          </w:p>
        </w:tc>
        <w:tc>
          <w:tcPr>
            <w:tcW w:w="615" w:type="dxa"/>
            <w:vMerge w:val="continue"/>
            <w:noWrap w:val="0"/>
            <w:vAlign w:val="center"/>
          </w:tcPr>
          <w:p>
            <w:pPr>
              <w:widowControl/>
              <w:spacing w:line="320" w:lineRule="exact"/>
              <w:jc w:val="left"/>
              <w:rPr>
                <w:rFonts w:eastAsia="仿宋_GB2312" w:cs="Times New Roman"/>
                <w:kern w:val="0"/>
                <w:sz w:val="24"/>
                <w:szCs w:val="24"/>
              </w:rPr>
            </w:pPr>
          </w:p>
        </w:tc>
        <w:tc>
          <w:tcPr>
            <w:tcW w:w="945"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保障</w:t>
            </w:r>
          </w:p>
          <w:p>
            <w:pPr>
              <w:widowControl/>
              <w:spacing w:line="320" w:lineRule="exact"/>
              <w:jc w:val="center"/>
              <w:rPr>
                <w:rFonts w:eastAsia="仿宋_GB2312" w:cs="Times New Roman"/>
                <w:kern w:val="0"/>
                <w:sz w:val="24"/>
                <w:szCs w:val="24"/>
              </w:rPr>
            </w:pPr>
            <w:r>
              <w:rPr>
                <w:rFonts w:eastAsia="仿宋_GB2312" w:cs="Times New Roman"/>
                <w:kern w:val="0"/>
                <w:sz w:val="24"/>
                <w:szCs w:val="24"/>
              </w:rPr>
              <w:t>措施</w:t>
            </w:r>
          </w:p>
        </w:tc>
        <w:tc>
          <w:tcPr>
            <w:tcW w:w="660"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2</w:t>
            </w:r>
          </w:p>
        </w:tc>
        <w:tc>
          <w:tcPr>
            <w:tcW w:w="1320"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制度完整性</w:t>
            </w:r>
          </w:p>
        </w:tc>
        <w:tc>
          <w:tcPr>
            <w:tcW w:w="611"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1</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eastAsia="仿宋_GB2312" w:cs="Times New Roman"/>
                <w:kern w:val="0"/>
                <w:sz w:val="24"/>
                <w:szCs w:val="24"/>
              </w:rPr>
              <w:t>反映项目管理制度是否完整、健全</w:t>
            </w:r>
            <w:r>
              <w:rPr>
                <w:rFonts w:hint="eastAsia" w:eastAsia="仿宋_GB2312" w:cs="Times New Roman"/>
                <w:kern w:val="0"/>
                <w:sz w:val="24"/>
                <w:szCs w:val="24"/>
                <w:lang w:eastAsia="zh-CN"/>
              </w:rPr>
              <w:t>。</w:t>
            </w:r>
          </w:p>
        </w:tc>
        <w:tc>
          <w:tcPr>
            <w:tcW w:w="4725"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依据相关基础信息和证据判断制度完整性和是否具备实施条件，根据实际情况核定分数。</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jc w:val="left"/>
              <w:rPr>
                <w:rFonts w:eastAsia="仿宋_GB2312" w:cs="Times New Roman"/>
                <w:kern w:val="0"/>
                <w:sz w:val="24"/>
                <w:szCs w:val="24"/>
              </w:rPr>
            </w:pPr>
          </w:p>
        </w:tc>
        <w:tc>
          <w:tcPr>
            <w:tcW w:w="615" w:type="dxa"/>
            <w:vMerge w:val="continue"/>
            <w:noWrap w:val="0"/>
            <w:vAlign w:val="center"/>
          </w:tcPr>
          <w:p>
            <w:pPr>
              <w:widowControl/>
              <w:spacing w:line="320" w:lineRule="exact"/>
              <w:jc w:val="left"/>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left"/>
              <w:rPr>
                <w:rFonts w:eastAsia="仿宋_GB2312" w:cs="Times New Roman"/>
                <w:kern w:val="0"/>
                <w:sz w:val="24"/>
                <w:szCs w:val="24"/>
              </w:rPr>
            </w:pPr>
          </w:p>
        </w:tc>
        <w:tc>
          <w:tcPr>
            <w:tcW w:w="1320"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计划安排合理性</w:t>
            </w:r>
          </w:p>
        </w:tc>
        <w:tc>
          <w:tcPr>
            <w:tcW w:w="611"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1</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eastAsia="仿宋_GB2312" w:cs="Times New Roman"/>
                <w:kern w:val="0"/>
                <w:sz w:val="24"/>
                <w:szCs w:val="24"/>
              </w:rPr>
              <w:t>反映计划安排是否齐全、合理</w:t>
            </w:r>
            <w:r>
              <w:rPr>
                <w:rFonts w:hint="eastAsia" w:eastAsia="仿宋_GB2312" w:cs="Times New Roman"/>
                <w:kern w:val="0"/>
                <w:sz w:val="24"/>
                <w:szCs w:val="24"/>
                <w:lang w:eastAsia="zh-CN"/>
              </w:rPr>
              <w:t>。</w:t>
            </w:r>
          </w:p>
        </w:tc>
        <w:tc>
          <w:tcPr>
            <w:tcW w:w="4725"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依据相关工作计划、进度计划等基础信息和证据，并结合实际情况核定分数。</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资金落实</w:t>
            </w:r>
          </w:p>
        </w:tc>
        <w:tc>
          <w:tcPr>
            <w:tcW w:w="615"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8</w:t>
            </w:r>
          </w:p>
        </w:tc>
        <w:tc>
          <w:tcPr>
            <w:tcW w:w="945"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资金</w:t>
            </w:r>
          </w:p>
          <w:p>
            <w:pPr>
              <w:widowControl/>
              <w:spacing w:line="320" w:lineRule="exact"/>
              <w:jc w:val="center"/>
              <w:rPr>
                <w:rFonts w:eastAsia="仿宋_GB2312" w:cs="Times New Roman"/>
                <w:kern w:val="0"/>
                <w:sz w:val="24"/>
                <w:szCs w:val="24"/>
              </w:rPr>
            </w:pPr>
            <w:r>
              <w:rPr>
                <w:rFonts w:eastAsia="仿宋_GB2312" w:cs="Times New Roman"/>
                <w:kern w:val="0"/>
                <w:sz w:val="24"/>
                <w:szCs w:val="24"/>
              </w:rPr>
              <w:t>到位</w:t>
            </w:r>
          </w:p>
        </w:tc>
        <w:tc>
          <w:tcPr>
            <w:tcW w:w="660"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5</w:t>
            </w:r>
          </w:p>
        </w:tc>
        <w:tc>
          <w:tcPr>
            <w:tcW w:w="1320"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资金到位率</w:t>
            </w:r>
          </w:p>
        </w:tc>
        <w:tc>
          <w:tcPr>
            <w:tcW w:w="611"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3</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eastAsia="仿宋_GB2312" w:cs="Times New Roman"/>
                <w:kern w:val="0"/>
                <w:sz w:val="24"/>
                <w:szCs w:val="24"/>
              </w:rPr>
              <w:t>反映财政资金的到位情况，到位率=实际到达项目单位的资金/计划安排或下达的金额</w:t>
            </w:r>
            <w:r>
              <w:rPr>
                <w:rFonts w:hint="eastAsia" w:eastAsia="仿宋_GB2312" w:cs="Times New Roman"/>
                <w:kern w:val="0"/>
                <w:sz w:val="24"/>
                <w:szCs w:val="24"/>
                <w:lang w:val="en-US" w:eastAsia="zh-CN"/>
              </w:rPr>
              <w:t>×</w:t>
            </w:r>
            <w:r>
              <w:rPr>
                <w:rFonts w:eastAsia="仿宋_GB2312" w:cs="Times New Roman"/>
                <w:kern w:val="0"/>
                <w:sz w:val="24"/>
                <w:szCs w:val="24"/>
              </w:rPr>
              <w:t>100%</w:t>
            </w:r>
            <w:r>
              <w:rPr>
                <w:rFonts w:hint="eastAsia" w:eastAsia="仿宋_GB2312" w:cs="Times New Roman"/>
                <w:kern w:val="0"/>
                <w:sz w:val="24"/>
                <w:szCs w:val="24"/>
                <w:lang w:eastAsia="zh-CN"/>
              </w:rPr>
              <w:t>。</w:t>
            </w:r>
          </w:p>
        </w:tc>
        <w:tc>
          <w:tcPr>
            <w:tcW w:w="4725"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1.各类来源资金足额到位的，得3分。                                     2.各类来源资金未足额到位的，按实际及时到位的金额/应及时到位的金额</w:t>
            </w:r>
            <w:r>
              <w:rPr>
                <w:rFonts w:hint="eastAsia" w:eastAsia="仿宋_GB2312" w:cs="Times New Roman"/>
                <w:kern w:val="0"/>
                <w:sz w:val="24"/>
                <w:szCs w:val="24"/>
                <w:lang w:val="en-US" w:eastAsia="zh-CN"/>
              </w:rPr>
              <w:t>×</w:t>
            </w:r>
            <w:r>
              <w:rPr>
                <w:rFonts w:eastAsia="仿宋_GB2312" w:cs="Times New Roman"/>
                <w:kern w:val="0"/>
                <w:sz w:val="24"/>
                <w:szCs w:val="24"/>
              </w:rPr>
              <w:t>指标分值。</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jc w:val="left"/>
              <w:rPr>
                <w:rFonts w:eastAsia="仿宋_GB2312" w:cs="Times New Roman"/>
                <w:kern w:val="0"/>
                <w:sz w:val="24"/>
                <w:szCs w:val="24"/>
              </w:rPr>
            </w:pPr>
          </w:p>
        </w:tc>
        <w:tc>
          <w:tcPr>
            <w:tcW w:w="615" w:type="dxa"/>
            <w:vMerge w:val="continue"/>
            <w:noWrap w:val="0"/>
            <w:vAlign w:val="center"/>
          </w:tcPr>
          <w:p>
            <w:pPr>
              <w:widowControl/>
              <w:spacing w:line="320" w:lineRule="exact"/>
              <w:jc w:val="left"/>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left"/>
              <w:rPr>
                <w:rFonts w:eastAsia="仿宋_GB2312" w:cs="Times New Roman"/>
                <w:kern w:val="0"/>
                <w:sz w:val="24"/>
                <w:szCs w:val="24"/>
              </w:rPr>
            </w:pPr>
          </w:p>
        </w:tc>
        <w:tc>
          <w:tcPr>
            <w:tcW w:w="1320"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资金到位及时性</w:t>
            </w:r>
          </w:p>
        </w:tc>
        <w:tc>
          <w:tcPr>
            <w:tcW w:w="611"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2</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eastAsia="仿宋_GB2312" w:cs="Times New Roman"/>
                <w:kern w:val="0"/>
                <w:sz w:val="24"/>
                <w:szCs w:val="24"/>
              </w:rPr>
              <w:t>反映财政资金的到位及时性</w:t>
            </w:r>
            <w:r>
              <w:rPr>
                <w:rFonts w:hint="eastAsia" w:eastAsia="仿宋_GB2312" w:cs="Times New Roman"/>
                <w:kern w:val="0"/>
                <w:sz w:val="24"/>
                <w:szCs w:val="24"/>
                <w:lang w:eastAsia="zh-CN"/>
              </w:rPr>
              <w:t>。</w:t>
            </w:r>
          </w:p>
        </w:tc>
        <w:tc>
          <w:tcPr>
            <w:tcW w:w="4725"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1.各类来源资金及时到位的，得2分。                                             2.各类来源资金未及时到位的，按实际及时到位的金额/应及时到位的金额</w:t>
            </w:r>
            <w:r>
              <w:rPr>
                <w:rFonts w:hint="eastAsia" w:eastAsia="仿宋_GB2312" w:cs="Times New Roman"/>
                <w:kern w:val="0"/>
                <w:sz w:val="24"/>
                <w:szCs w:val="24"/>
                <w:lang w:val="en-US" w:eastAsia="zh-CN"/>
              </w:rPr>
              <w:t>×</w:t>
            </w:r>
            <w:r>
              <w:rPr>
                <w:rFonts w:eastAsia="仿宋_GB2312" w:cs="Times New Roman"/>
                <w:kern w:val="0"/>
                <w:sz w:val="24"/>
                <w:szCs w:val="24"/>
              </w:rPr>
              <w:t>指标分值。</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jc w:val="left"/>
              <w:rPr>
                <w:rFonts w:eastAsia="仿宋_GB2312" w:cs="Times New Roman"/>
                <w:kern w:val="0"/>
                <w:sz w:val="24"/>
                <w:szCs w:val="24"/>
              </w:rPr>
            </w:pPr>
          </w:p>
        </w:tc>
        <w:tc>
          <w:tcPr>
            <w:tcW w:w="615" w:type="dxa"/>
            <w:vMerge w:val="continue"/>
            <w:noWrap w:val="0"/>
            <w:vAlign w:val="center"/>
          </w:tcPr>
          <w:p>
            <w:pPr>
              <w:widowControl/>
              <w:spacing w:line="320" w:lineRule="exact"/>
              <w:jc w:val="left"/>
              <w:rPr>
                <w:rFonts w:eastAsia="仿宋_GB2312" w:cs="Times New Roman"/>
                <w:kern w:val="0"/>
                <w:sz w:val="24"/>
                <w:szCs w:val="24"/>
              </w:rPr>
            </w:pPr>
          </w:p>
        </w:tc>
        <w:tc>
          <w:tcPr>
            <w:tcW w:w="945" w:type="dxa"/>
            <w:noWrap w:val="0"/>
            <w:vAlign w:val="center"/>
          </w:tcPr>
          <w:p>
            <w:pPr>
              <w:widowControl/>
              <w:spacing w:line="320" w:lineRule="exact"/>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资金</w:t>
            </w:r>
          </w:p>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分配</w:t>
            </w:r>
          </w:p>
        </w:tc>
        <w:tc>
          <w:tcPr>
            <w:tcW w:w="660"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3</w:t>
            </w:r>
          </w:p>
        </w:tc>
        <w:tc>
          <w:tcPr>
            <w:tcW w:w="1320"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资金分配的合理性</w:t>
            </w:r>
          </w:p>
        </w:tc>
        <w:tc>
          <w:tcPr>
            <w:tcW w:w="611"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3</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ascii="仿宋_GB2312" w:hAnsi="仿宋_GB2312" w:eastAsia="仿宋_GB2312" w:cs="仿宋_GB2312"/>
                <w:color w:val="000000"/>
                <w:kern w:val="0"/>
                <w:sz w:val="24"/>
              </w:rPr>
              <w:t>反映各类资金按规定或约定的时间支付情况，包括省、市、县（区）财政资金的使用</w:t>
            </w:r>
            <w:r>
              <w:rPr>
                <w:rFonts w:hint="eastAsia" w:ascii="仿宋_GB2312" w:hAnsi="仿宋_GB2312" w:eastAsia="仿宋_GB2312" w:cs="仿宋_GB2312"/>
                <w:color w:val="000000"/>
                <w:kern w:val="0"/>
                <w:sz w:val="24"/>
                <w:lang w:eastAsia="zh-CN"/>
              </w:rPr>
              <w:t>。</w:t>
            </w:r>
          </w:p>
        </w:tc>
        <w:tc>
          <w:tcPr>
            <w:tcW w:w="4725"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依据相关材料和证据判断资金分配是否合理，是否有助于实现</w:t>
            </w:r>
            <w:r>
              <w:rPr>
                <w:rFonts w:hint="eastAsia" w:ascii="仿宋_GB2312" w:hAnsi="仿宋_GB2312" w:eastAsia="仿宋_GB2312" w:cs="仿宋_GB2312"/>
                <w:kern w:val="0"/>
                <w:sz w:val="24"/>
              </w:rPr>
              <w:t>合理使用</w:t>
            </w:r>
            <w:r>
              <w:rPr>
                <w:rFonts w:hint="eastAsia" w:ascii="仿宋_GB2312" w:hAnsi="仿宋_GB2312" w:eastAsia="仿宋_GB2312" w:cs="仿宋_GB2312"/>
                <w:color w:val="000000"/>
                <w:kern w:val="0"/>
                <w:sz w:val="24"/>
              </w:rPr>
              <w:t>资金的绩效目标。</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0" w:hRule="atLeast"/>
        </w:trPr>
        <w:tc>
          <w:tcPr>
            <w:tcW w:w="613" w:type="dxa"/>
            <w:vMerge w:val="restart"/>
            <w:noWrap w:val="0"/>
            <w:vAlign w:val="center"/>
          </w:tcPr>
          <w:p>
            <w:pPr>
              <w:widowControl/>
              <w:spacing w:line="320" w:lineRule="exact"/>
              <w:jc w:val="left"/>
              <w:rPr>
                <w:rFonts w:hint="eastAsia" w:eastAsia="仿宋_GB2312" w:cs="Times New Roman"/>
                <w:kern w:val="0"/>
                <w:sz w:val="24"/>
                <w:szCs w:val="24"/>
                <w:lang w:eastAsia="zh-CN"/>
              </w:rPr>
            </w:pPr>
            <w:r>
              <w:rPr>
                <w:rFonts w:hint="eastAsia" w:eastAsia="仿宋_GB2312" w:cs="Times New Roman"/>
                <w:kern w:val="0"/>
                <w:sz w:val="24"/>
                <w:szCs w:val="24"/>
                <w:lang w:val="en-US" w:eastAsia="zh-CN"/>
              </w:rPr>
              <w:t>管理</w:t>
            </w:r>
          </w:p>
        </w:tc>
        <w:tc>
          <w:tcPr>
            <w:tcW w:w="645"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20</w:t>
            </w:r>
          </w:p>
        </w:tc>
        <w:tc>
          <w:tcPr>
            <w:tcW w:w="540" w:type="dxa"/>
            <w:vMerge w:val="restart"/>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资金管理</w:t>
            </w:r>
          </w:p>
        </w:tc>
        <w:tc>
          <w:tcPr>
            <w:tcW w:w="615"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12</w:t>
            </w:r>
          </w:p>
        </w:tc>
        <w:tc>
          <w:tcPr>
            <w:tcW w:w="945" w:type="dxa"/>
            <w:noWrap w:val="0"/>
            <w:vAlign w:val="center"/>
          </w:tcPr>
          <w:p>
            <w:pPr>
              <w:widowControl/>
              <w:spacing w:line="320" w:lineRule="exact"/>
              <w:jc w:val="left"/>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资金</w:t>
            </w:r>
          </w:p>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支付</w:t>
            </w:r>
          </w:p>
        </w:tc>
        <w:tc>
          <w:tcPr>
            <w:tcW w:w="660"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6</w:t>
            </w:r>
          </w:p>
        </w:tc>
        <w:tc>
          <w:tcPr>
            <w:tcW w:w="1320"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资金支出率</w:t>
            </w:r>
          </w:p>
        </w:tc>
        <w:tc>
          <w:tcPr>
            <w:tcW w:w="611"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6</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ascii="仿宋_GB2312" w:hAnsi="仿宋_GB2312" w:eastAsia="仿宋_GB2312" w:cs="仿宋_GB2312"/>
                <w:color w:val="000000"/>
                <w:kern w:val="0"/>
                <w:sz w:val="24"/>
              </w:rPr>
              <w:t>反映专项资金的实际使用情况，包括省、市、县（区）财政资金的使用，</w:t>
            </w:r>
            <w:r>
              <w:rPr>
                <w:rFonts w:hint="eastAsia" w:ascii="仿宋_GB2312" w:hAnsi="仿宋_GB2312" w:eastAsia="仿宋_GB2312" w:cs="仿宋_GB2312"/>
                <w:color w:val="000000"/>
                <w:kern w:val="0"/>
                <w:sz w:val="24"/>
                <w:lang w:val="en-US" w:eastAsia="zh-CN"/>
              </w:rPr>
              <w:t>支出</w:t>
            </w:r>
            <w:r>
              <w:rPr>
                <w:rFonts w:hint="eastAsia" w:ascii="仿宋_GB2312" w:hAnsi="仿宋_GB2312" w:eastAsia="仿宋_GB2312" w:cs="仿宋_GB2312"/>
                <w:color w:val="000000"/>
                <w:kern w:val="0"/>
                <w:sz w:val="24"/>
              </w:rPr>
              <w:t>率=（财政资金实际支出金额/财政</w:t>
            </w:r>
            <w:r>
              <w:rPr>
                <w:rFonts w:hint="eastAsia" w:ascii="仿宋_GB2312" w:hAnsi="仿宋_GB2312" w:eastAsia="仿宋_GB2312" w:cs="仿宋_GB2312"/>
                <w:color w:val="000000"/>
                <w:kern w:val="0"/>
                <w:sz w:val="24"/>
                <w:lang w:val="en-US" w:eastAsia="zh-CN"/>
              </w:rPr>
              <w:t>资金</w:t>
            </w:r>
            <w:r>
              <w:rPr>
                <w:rFonts w:hint="eastAsia" w:ascii="仿宋_GB2312" w:hAnsi="仿宋_GB2312" w:eastAsia="仿宋_GB2312" w:cs="仿宋_GB2312"/>
                <w:color w:val="000000"/>
                <w:kern w:val="0"/>
                <w:sz w:val="24"/>
              </w:rPr>
              <w:t>实际到位总金额）</w:t>
            </w:r>
            <w:r>
              <w:rPr>
                <w:rFonts w:hint="eastAsia" w:ascii="仿宋_GB2312" w:hAnsi="仿宋_GB2312" w:eastAsia="仿宋_GB2312" w:cs="仿宋_GB2312"/>
                <w:color w:val="000000"/>
                <w:kern w:val="0"/>
                <w:sz w:val="24"/>
                <w:lang w:val="en-US" w:eastAsia="zh-CN"/>
              </w:rPr>
              <w:t>×</w:t>
            </w:r>
            <w:r>
              <w:rPr>
                <w:rFonts w:hint="eastAsia" w:ascii="仿宋_GB2312" w:hAnsi="仿宋_GB2312" w:eastAsia="仿宋_GB2312" w:cs="仿宋_GB2312"/>
                <w:color w:val="000000"/>
                <w:kern w:val="0"/>
                <w:sz w:val="24"/>
              </w:rPr>
              <w:t>100%</w:t>
            </w:r>
            <w:r>
              <w:rPr>
                <w:rFonts w:hint="eastAsia" w:ascii="仿宋_GB2312" w:hAnsi="仿宋_GB2312" w:eastAsia="仿宋_GB2312" w:cs="仿宋_GB2312"/>
                <w:color w:val="000000"/>
                <w:kern w:val="0"/>
                <w:sz w:val="24"/>
                <w:lang w:eastAsia="zh-CN"/>
              </w:rPr>
              <w:t>。</w:t>
            </w:r>
          </w:p>
        </w:tc>
        <w:tc>
          <w:tcPr>
            <w:tcW w:w="4725"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主要依据“</w:t>
            </w:r>
            <w:r>
              <w:rPr>
                <w:rFonts w:hint="eastAsia" w:ascii="仿宋_GB2312" w:hAnsi="仿宋_GB2312" w:eastAsia="仿宋_GB2312" w:cs="仿宋_GB2312"/>
                <w:color w:val="000000"/>
                <w:kern w:val="0"/>
                <w:sz w:val="24"/>
                <w:lang w:val="en-US" w:eastAsia="zh-CN"/>
              </w:rPr>
              <w:t>支出率×</w:t>
            </w:r>
            <w:r>
              <w:rPr>
                <w:rFonts w:hint="eastAsia" w:ascii="仿宋_GB2312" w:hAnsi="仿宋_GB2312" w:eastAsia="仿宋_GB2312" w:cs="仿宋_GB2312"/>
                <w:color w:val="000000"/>
                <w:kern w:val="0"/>
                <w:sz w:val="24"/>
              </w:rPr>
              <w:t>指标权重”计算得分，同时综合考虑工作进度以及是否垫资或履行支付手续而影响支出率等因素适当调整最后得分。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jc w:val="left"/>
              <w:rPr>
                <w:rFonts w:eastAsia="仿宋_GB2312" w:cs="Times New Roman"/>
                <w:kern w:val="0"/>
                <w:sz w:val="24"/>
                <w:szCs w:val="24"/>
              </w:rPr>
            </w:pPr>
          </w:p>
        </w:tc>
        <w:tc>
          <w:tcPr>
            <w:tcW w:w="615" w:type="dxa"/>
            <w:vMerge w:val="continue"/>
            <w:noWrap w:val="0"/>
            <w:vAlign w:val="center"/>
          </w:tcPr>
          <w:p>
            <w:pPr>
              <w:widowControl/>
              <w:spacing w:line="320" w:lineRule="exact"/>
              <w:jc w:val="left"/>
              <w:rPr>
                <w:rFonts w:eastAsia="仿宋_GB2312" w:cs="Times New Roman"/>
                <w:kern w:val="0"/>
                <w:sz w:val="24"/>
                <w:szCs w:val="24"/>
              </w:rPr>
            </w:pPr>
          </w:p>
        </w:tc>
        <w:tc>
          <w:tcPr>
            <w:tcW w:w="945"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支出规范性</w:t>
            </w:r>
          </w:p>
        </w:tc>
        <w:tc>
          <w:tcPr>
            <w:tcW w:w="660"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6</w:t>
            </w:r>
          </w:p>
        </w:tc>
        <w:tc>
          <w:tcPr>
            <w:tcW w:w="1320"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事项支出合规性</w:t>
            </w:r>
          </w:p>
        </w:tc>
        <w:tc>
          <w:tcPr>
            <w:tcW w:w="611"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6</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ascii="仿宋_GB2312" w:hAnsi="仿宋_GB2312" w:eastAsia="仿宋_GB2312" w:cs="仿宋_GB2312"/>
                <w:color w:val="000000"/>
                <w:kern w:val="0"/>
                <w:sz w:val="24"/>
              </w:rPr>
              <w:t>反映资金管理、费用标准、集中支付或财政报账等制度是否得到严格执行，是否超范围、超标准支出，是否虚列支出，是否存在截留、挤占、挪用资金的情况</w:t>
            </w:r>
            <w:r>
              <w:rPr>
                <w:rFonts w:hint="eastAsia" w:ascii="仿宋_GB2312" w:hAnsi="仿宋_GB2312" w:eastAsia="仿宋_GB2312" w:cs="仿宋_GB2312"/>
                <w:color w:val="000000"/>
                <w:kern w:val="0"/>
                <w:sz w:val="24"/>
                <w:lang w:eastAsia="zh-CN"/>
              </w:rPr>
              <w:t>。</w:t>
            </w:r>
          </w:p>
        </w:tc>
        <w:tc>
          <w:tcPr>
            <w:tcW w:w="4725" w:type="dxa"/>
            <w:noWrap w:val="0"/>
            <w:vAlign w:val="center"/>
          </w:tcPr>
          <w:p>
            <w:pPr>
              <w:widowControl/>
              <w:numPr>
                <w:ilvl w:val="0"/>
                <w:numId w:val="5"/>
              </w:numPr>
              <w:spacing w:line="320" w:lineRule="exact"/>
              <w:jc w:val="left"/>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预算执行规范性2分，按规定履行调整报批手续或未发生调整的，且按事项完成进度支付资金的得满分，否则酌情扣分。</w:t>
            </w:r>
          </w:p>
          <w:p>
            <w:pPr>
              <w:widowControl/>
              <w:numPr>
                <w:ilvl w:val="0"/>
                <w:numId w:val="5"/>
              </w:numPr>
              <w:spacing w:line="320" w:lineRule="exact"/>
              <w:jc w:val="left"/>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事项支出的合规性2分，资金管理、费用标准、支付符合有关制度的得满分，超范围、超标准支出，虚列支出、截留、挤占、挪用资金的，以及其他不符合制度规定支出的，是情节严重情况扣分，直至扣到0分。</w:t>
            </w:r>
          </w:p>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3.会计核算的规范性2分，规范执行会计核算制度得满分，未按规定设专账核算，或支出凭证不符合规定的，或其他核算不规范的，视具体情况扣分。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事项管理</w:t>
            </w:r>
          </w:p>
        </w:tc>
        <w:tc>
          <w:tcPr>
            <w:tcW w:w="615"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8</w:t>
            </w:r>
          </w:p>
        </w:tc>
        <w:tc>
          <w:tcPr>
            <w:tcW w:w="945" w:type="dxa"/>
            <w:noWrap w:val="0"/>
            <w:vAlign w:val="center"/>
          </w:tcPr>
          <w:p>
            <w:pPr>
              <w:widowControl/>
              <w:spacing w:line="320" w:lineRule="exact"/>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实施</w:t>
            </w:r>
          </w:p>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程序</w:t>
            </w:r>
          </w:p>
        </w:tc>
        <w:tc>
          <w:tcPr>
            <w:tcW w:w="660"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4</w:t>
            </w:r>
          </w:p>
        </w:tc>
        <w:tc>
          <w:tcPr>
            <w:tcW w:w="1320"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程序规范性</w:t>
            </w:r>
          </w:p>
        </w:tc>
        <w:tc>
          <w:tcPr>
            <w:tcW w:w="611"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4</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ascii="仿宋_GB2312" w:hAnsi="仿宋_GB2312" w:eastAsia="仿宋_GB2312" w:cs="仿宋_GB2312"/>
                <w:color w:val="000000"/>
                <w:kern w:val="0"/>
                <w:sz w:val="24"/>
              </w:rPr>
              <w:t>反映项目实施程序是否规范</w:t>
            </w:r>
            <w:r>
              <w:rPr>
                <w:rFonts w:hint="eastAsia" w:ascii="仿宋_GB2312" w:hAnsi="仿宋_GB2312" w:eastAsia="仿宋_GB2312" w:cs="仿宋_GB2312"/>
                <w:color w:val="000000"/>
                <w:kern w:val="0"/>
                <w:sz w:val="24"/>
                <w:lang w:eastAsia="zh-CN"/>
              </w:rPr>
              <w:t>。</w:t>
            </w:r>
          </w:p>
        </w:tc>
        <w:tc>
          <w:tcPr>
            <w:tcW w:w="4725"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项目或方案按照规定程序实施，严格执行相关制度规定的4分，否则酌情扣分。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jc w:val="left"/>
              <w:rPr>
                <w:rFonts w:eastAsia="仿宋_GB2312" w:cs="Times New Roman"/>
                <w:kern w:val="0"/>
                <w:sz w:val="24"/>
                <w:szCs w:val="24"/>
              </w:rPr>
            </w:pPr>
          </w:p>
        </w:tc>
        <w:tc>
          <w:tcPr>
            <w:tcW w:w="615" w:type="dxa"/>
            <w:vMerge w:val="continue"/>
            <w:noWrap w:val="0"/>
            <w:vAlign w:val="center"/>
          </w:tcPr>
          <w:p>
            <w:pPr>
              <w:widowControl/>
              <w:spacing w:line="320" w:lineRule="exact"/>
              <w:jc w:val="left"/>
              <w:rPr>
                <w:rFonts w:eastAsia="仿宋_GB2312" w:cs="Times New Roman"/>
                <w:kern w:val="0"/>
                <w:sz w:val="24"/>
                <w:szCs w:val="24"/>
              </w:rPr>
            </w:pPr>
          </w:p>
        </w:tc>
        <w:tc>
          <w:tcPr>
            <w:tcW w:w="945" w:type="dxa"/>
            <w:noWrap w:val="0"/>
            <w:vAlign w:val="center"/>
          </w:tcPr>
          <w:p>
            <w:pPr>
              <w:widowControl/>
              <w:spacing w:line="320" w:lineRule="exact"/>
              <w:jc w:val="left"/>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管理</w:t>
            </w:r>
          </w:p>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情况</w:t>
            </w:r>
          </w:p>
        </w:tc>
        <w:tc>
          <w:tcPr>
            <w:tcW w:w="660"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4</w:t>
            </w:r>
          </w:p>
        </w:tc>
        <w:tc>
          <w:tcPr>
            <w:tcW w:w="1320"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监管有效性</w:t>
            </w:r>
          </w:p>
        </w:tc>
        <w:tc>
          <w:tcPr>
            <w:tcW w:w="611"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4</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ascii="仿宋_GB2312" w:hAnsi="仿宋_GB2312" w:eastAsia="仿宋_GB2312" w:cs="仿宋_GB2312"/>
                <w:color w:val="000000"/>
                <w:kern w:val="0"/>
                <w:sz w:val="24"/>
              </w:rPr>
              <w:t>反映项目主管部门对项目是否监管到位情况</w:t>
            </w:r>
            <w:r>
              <w:rPr>
                <w:rFonts w:hint="eastAsia" w:ascii="仿宋_GB2312" w:hAnsi="仿宋_GB2312" w:eastAsia="仿宋_GB2312" w:cs="仿宋_GB2312"/>
                <w:color w:val="000000"/>
                <w:kern w:val="0"/>
                <w:sz w:val="24"/>
                <w:lang w:eastAsia="zh-CN"/>
              </w:rPr>
              <w:t>。</w:t>
            </w:r>
          </w:p>
        </w:tc>
        <w:tc>
          <w:tcPr>
            <w:tcW w:w="4725" w:type="dxa"/>
            <w:noWrap w:val="0"/>
            <w:vAlign w:val="center"/>
          </w:tcPr>
          <w:p>
            <w:pPr>
              <w:widowControl/>
              <w:numPr>
                <w:ilvl w:val="0"/>
                <w:numId w:val="6"/>
              </w:numPr>
              <w:spacing w:line="320" w:lineRule="exact"/>
              <w:jc w:val="left"/>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 xml:space="preserve">资金使用单位或基层资金管理单位建立有效的管理机制，且执行情况良好得2分，具体根据所提供的信息核定分数。              </w:t>
            </w:r>
          </w:p>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2.根据提供的信息作出判断，如各级主管部门按规定对项目建设或方案实施开展有效的检查、监控、督促整改的，得2分；否则，视情况扣分。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trPr>
        <w:tc>
          <w:tcPr>
            <w:tcW w:w="613"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产出</w:t>
            </w:r>
          </w:p>
        </w:tc>
        <w:tc>
          <w:tcPr>
            <w:tcW w:w="645"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30</w:t>
            </w:r>
          </w:p>
        </w:tc>
        <w:tc>
          <w:tcPr>
            <w:tcW w:w="540"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经济性</w:t>
            </w:r>
          </w:p>
        </w:tc>
        <w:tc>
          <w:tcPr>
            <w:tcW w:w="615"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5</w:t>
            </w:r>
          </w:p>
        </w:tc>
        <w:tc>
          <w:tcPr>
            <w:tcW w:w="945"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预算</w:t>
            </w:r>
            <w:r>
              <w:rPr>
                <w:rFonts w:hint="eastAsia" w:ascii="仿宋_GB2312" w:hAnsi="仿宋_GB2312" w:eastAsia="仿宋_GB2312" w:cs="仿宋_GB2312"/>
                <w:color w:val="000000"/>
                <w:kern w:val="0"/>
                <w:sz w:val="24"/>
                <w:lang w:eastAsia="zh-CN"/>
              </w:rPr>
              <w:t>（</w:t>
            </w:r>
            <w:r>
              <w:rPr>
                <w:rFonts w:hint="eastAsia" w:ascii="仿宋_GB2312" w:hAnsi="仿宋_GB2312" w:eastAsia="仿宋_GB2312" w:cs="仿宋_GB2312"/>
                <w:color w:val="000000"/>
                <w:kern w:val="0"/>
                <w:sz w:val="24"/>
              </w:rPr>
              <w:t>成本）控制</w:t>
            </w:r>
          </w:p>
        </w:tc>
        <w:tc>
          <w:tcPr>
            <w:tcW w:w="660"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5</w:t>
            </w:r>
          </w:p>
        </w:tc>
        <w:tc>
          <w:tcPr>
            <w:tcW w:w="1320"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预算控制</w:t>
            </w:r>
          </w:p>
        </w:tc>
        <w:tc>
          <w:tcPr>
            <w:tcW w:w="611"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5</w:t>
            </w:r>
          </w:p>
        </w:tc>
        <w:tc>
          <w:tcPr>
            <w:tcW w:w="3184"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反映事项预算（成本）控制的合理性，即反映预算执行结果是节约还是超支等具体情况及原因。</w:t>
            </w:r>
          </w:p>
        </w:tc>
        <w:tc>
          <w:tcPr>
            <w:tcW w:w="4725"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在预算执行进度与事项完成进度基本匹配的前提下，实际支出未超过预算计划的，得5分；实际支出超过预算的，或者支出未能保障事项相应完成进度的，酌情扣分。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restart"/>
            <w:noWrap w:val="0"/>
            <w:vAlign w:val="center"/>
          </w:tcPr>
          <w:p>
            <w:pPr>
              <w:widowControl/>
              <w:spacing w:line="320" w:lineRule="exact"/>
              <w:rPr>
                <w:rFonts w:eastAsia="仿宋_GB2312" w:cs="Times New Roman"/>
                <w:kern w:val="0"/>
                <w:sz w:val="24"/>
                <w:szCs w:val="24"/>
              </w:rPr>
            </w:pPr>
            <w:r>
              <w:rPr>
                <w:rFonts w:eastAsia="仿宋_GB2312" w:cs="Times New Roman"/>
                <w:kern w:val="0"/>
                <w:sz w:val="24"/>
                <w:szCs w:val="24"/>
              </w:rPr>
              <w:t>效率性</w:t>
            </w:r>
          </w:p>
        </w:tc>
        <w:tc>
          <w:tcPr>
            <w:tcW w:w="615"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25</w:t>
            </w:r>
          </w:p>
        </w:tc>
        <w:tc>
          <w:tcPr>
            <w:tcW w:w="945" w:type="dxa"/>
            <w:vMerge w:val="restart"/>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完成进度及质量</w:t>
            </w:r>
          </w:p>
        </w:tc>
        <w:tc>
          <w:tcPr>
            <w:tcW w:w="660"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25</w:t>
            </w:r>
          </w:p>
        </w:tc>
        <w:tc>
          <w:tcPr>
            <w:tcW w:w="1320" w:type="dxa"/>
            <w:noWrap w:val="0"/>
            <w:vAlign w:val="center"/>
          </w:tcPr>
          <w:p>
            <w:pPr>
              <w:widowControl/>
              <w:spacing w:line="320" w:lineRule="exact"/>
              <w:jc w:val="left"/>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项目完成率</w:t>
            </w:r>
          </w:p>
        </w:tc>
        <w:tc>
          <w:tcPr>
            <w:tcW w:w="611"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4</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eastAsia="仿宋_GB2312" w:cs="Times New Roman"/>
                <w:kern w:val="0"/>
                <w:sz w:val="24"/>
                <w:szCs w:val="24"/>
              </w:rPr>
              <w:t>反映</w:t>
            </w:r>
            <w:r>
              <w:rPr>
                <w:rFonts w:hint="eastAsia" w:eastAsia="仿宋_GB2312" w:cs="Times New Roman"/>
                <w:kern w:val="0"/>
                <w:sz w:val="24"/>
                <w:szCs w:val="24"/>
                <w:lang w:eastAsia="zh-CN"/>
              </w:rPr>
              <w:t>2023</w:t>
            </w:r>
            <w:r>
              <w:rPr>
                <w:rFonts w:hint="eastAsia" w:eastAsia="仿宋_GB2312" w:cs="Times New Roman"/>
                <w:kern w:val="0"/>
                <w:sz w:val="24"/>
                <w:szCs w:val="24"/>
              </w:rPr>
              <w:t>年</w:t>
            </w:r>
            <w:r>
              <w:rPr>
                <w:rFonts w:hint="eastAsia" w:eastAsia="仿宋_GB2312" w:cs="Times New Roman"/>
                <w:kern w:val="0"/>
                <w:sz w:val="24"/>
                <w:szCs w:val="24"/>
                <w:lang w:eastAsia="zh-CN"/>
              </w:rPr>
              <w:t>曲江区</w:t>
            </w:r>
            <w:r>
              <w:rPr>
                <w:rFonts w:hint="eastAsia" w:eastAsia="仿宋_GB2312" w:cs="Times New Roman"/>
                <w:sz w:val="24"/>
                <w:szCs w:val="20"/>
                <w:lang w:val="en-US" w:eastAsia="zh-CN"/>
              </w:rPr>
              <w:t>涉农资金项目</w:t>
            </w:r>
            <w:r>
              <w:rPr>
                <w:rFonts w:hint="eastAsia" w:eastAsia="仿宋_GB2312" w:cs="Times New Roman"/>
                <w:kern w:val="0"/>
                <w:sz w:val="24"/>
                <w:szCs w:val="24"/>
              </w:rPr>
              <w:t>完成情况</w:t>
            </w:r>
            <w:r>
              <w:rPr>
                <w:rFonts w:hint="eastAsia" w:eastAsia="仿宋_GB2312" w:cs="Times New Roman"/>
                <w:kern w:val="0"/>
                <w:sz w:val="24"/>
                <w:szCs w:val="24"/>
                <w:lang w:eastAsia="zh-CN"/>
              </w:rPr>
              <w:t>。</w:t>
            </w:r>
          </w:p>
        </w:tc>
        <w:tc>
          <w:tcPr>
            <w:tcW w:w="4725" w:type="dxa"/>
            <w:noWrap w:val="0"/>
            <w:vAlign w:val="center"/>
          </w:tcPr>
          <w:p>
            <w:pPr>
              <w:widowControl/>
              <w:spacing w:line="320" w:lineRule="exact"/>
              <w:jc w:val="left"/>
              <w:rPr>
                <w:rFonts w:hint="eastAsia" w:eastAsia="仿宋_GB2312" w:cs="Times New Roman"/>
                <w:kern w:val="0"/>
                <w:sz w:val="24"/>
                <w:szCs w:val="24"/>
                <w:lang w:val="en-US" w:eastAsia="zh-CN"/>
              </w:rPr>
            </w:pPr>
            <w:r>
              <w:rPr>
                <w:rFonts w:hint="eastAsia" w:eastAsia="仿宋_GB2312" w:cs="Times New Roman"/>
                <w:kern w:val="0"/>
                <w:sz w:val="24"/>
                <w:szCs w:val="24"/>
                <w:lang w:eastAsia="zh-CN"/>
              </w:rPr>
              <w:t>2023</w:t>
            </w:r>
            <w:r>
              <w:rPr>
                <w:rFonts w:hint="eastAsia" w:eastAsia="仿宋_GB2312" w:cs="Times New Roman"/>
                <w:kern w:val="0"/>
                <w:sz w:val="24"/>
                <w:szCs w:val="24"/>
              </w:rPr>
              <w:t>年</w:t>
            </w:r>
            <w:r>
              <w:rPr>
                <w:rFonts w:hint="eastAsia" w:eastAsia="仿宋_GB2312" w:cs="Times New Roman"/>
                <w:kern w:val="0"/>
                <w:sz w:val="24"/>
                <w:szCs w:val="24"/>
                <w:lang w:eastAsia="zh-CN"/>
              </w:rPr>
              <w:t>曲江区</w:t>
            </w:r>
            <w:r>
              <w:rPr>
                <w:rFonts w:hint="eastAsia" w:eastAsia="仿宋_GB2312" w:cs="Times New Roman"/>
                <w:sz w:val="24"/>
                <w:szCs w:val="20"/>
                <w:lang w:val="en-US" w:eastAsia="zh-CN"/>
              </w:rPr>
              <w:t>涉农资金项目全部完成当年度的实施（建设）进度计划，得满分；否则，按</w:t>
            </w:r>
            <w:r>
              <w:rPr>
                <w:rFonts w:hint="eastAsia" w:eastAsia="仿宋_GB2312" w:cs="Times New Roman"/>
                <w:kern w:val="0"/>
                <w:sz w:val="24"/>
                <w:szCs w:val="24"/>
              </w:rPr>
              <w:t>完成</w:t>
            </w:r>
            <w:r>
              <w:rPr>
                <w:rFonts w:hint="eastAsia" w:eastAsia="仿宋_GB2312" w:cs="Times New Roman"/>
                <w:kern w:val="0"/>
                <w:sz w:val="24"/>
                <w:szCs w:val="24"/>
                <w:lang w:val="en-US" w:eastAsia="zh-CN"/>
              </w:rPr>
              <w:t>的</w:t>
            </w:r>
            <w:r>
              <w:rPr>
                <w:rFonts w:hint="eastAsia" w:eastAsia="仿宋_GB2312" w:cs="Times New Roman"/>
                <w:kern w:val="0"/>
                <w:sz w:val="24"/>
                <w:szCs w:val="24"/>
              </w:rPr>
              <w:t>比例得分</w:t>
            </w:r>
            <w:r>
              <w:rPr>
                <w:rFonts w:hint="eastAsia" w:eastAsia="仿宋_GB2312" w:cs="Times New Roman"/>
                <w:kern w:val="0"/>
                <w:sz w:val="24"/>
                <w:szCs w:val="24"/>
                <w:lang w:eastAsia="zh-CN"/>
              </w:rPr>
              <w:t>。</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3.57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rPr>
                <w:rFonts w:eastAsia="仿宋_GB2312" w:cs="Times New Roman"/>
                <w:kern w:val="0"/>
                <w:sz w:val="24"/>
                <w:szCs w:val="24"/>
              </w:rPr>
            </w:pPr>
          </w:p>
        </w:tc>
        <w:tc>
          <w:tcPr>
            <w:tcW w:w="615" w:type="dxa"/>
            <w:vMerge w:val="continue"/>
            <w:noWrap w:val="0"/>
            <w:vAlign w:val="center"/>
          </w:tcPr>
          <w:p>
            <w:pPr>
              <w:widowControl/>
              <w:spacing w:line="320" w:lineRule="exact"/>
              <w:jc w:val="center"/>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center"/>
              <w:rPr>
                <w:rFonts w:eastAsia="仿宋_GB2312" w:cs="Times New Roman"/>
                <w:kern w:val="0"/>
                <w:sz w:val="24"/>
                <w:szCs w:val="24"/>
              </w:rPr>
            </w:pPr>
          </w:p>
        </w:tc>
        <w:tc>
          <w:tcPr>
            <w:tcW w:w="1320" w:type="dxa"/>
            <w:noWrap w:val="0"/>
            <w:vAlign w:val="center"/>
          </w:tcPr>
          <w:p>
            <w:pPr>
              <w:widowControl/>
              <w:spacing w:line="320" w:lineRule="exact"/>
              <w:jc w:val="left"/>
              <w:rPr>
                <w:rFonts w:hint="eastAsia" w:ascii="Calibri" w:hAnsi="Calibri" w:eastAsia="仿宋_GB2312" w:cs="Times New Roman"/>
                <w:kern w:val="2"/>
                <w:sz w:val="24"/>
                <w:szCs w:val="20"/>
                <w:lang w:val="en-US" w:eastAsia="zh-CN" w:bidi="ar-SA"/>
              </w:rPr>
            </w:pPr>
            <w:r>
              <w:rPr>
                <w:rFonts w:hint="eastAsia" w:eastAsia="仿宋_GB2312" w:cs="Times New Roman"/>
                <w:sz w:val="24"/>
                <w:szCs w:val="20"/>
                <w:lang w:val="en-US" w:eastAsia="zh-CN"/>
              </w:rPr>
              <w:t>农产品质量安全监测</w:t>
            </w:r>
          </w:p>
        </w:tc>
        <w:tc>
          <w:tcPr>
            <w:tcW w:w="611" w:type="dxa"/>
            <w:noWrap w:val="0"/>
            <w:vAlign w:val="center"/>
          </w:tcPr>
          <w:p>
            <w:pPr>
              <w:widowControl/>
              <w:spacing w:line="320" w:lineRule="exact"/>
              <w:jc w:val="center"/>
              <w:rPr>
                <w:rFonts w:hint="eastAsia" w:ascii="Calibri" w:hAnsi="Calibri" w:eastAsia="仿宋_GB2312" w:cs="Times New Roman"/>
                <w:kern w:val="0"/>
                <w:sz w:val="24"/>
                <w:szCs w:val="24"/>
                <w:lang w:val="en-US" w:eastAsia="zh-CN" w:bidi="ar-SA"/>
              </w:rPr>
            </w:pPr>
            <w:r>
              <w:rPr>
                <w:rFonts w:hint="eastAsia" w:eastAsia="仿宋_GB2312" w:cs="Times New Roman"/>
                <w:kern w:val="0"/>
                <w:sz w:val="24"/>
                <w:szCs w:val="24"/>
                <w:lang w:val="en-US" w:eastAsia="zh-CN"/>
              </w:rPr>
              <w:t>2</w:t>
            </w:r>
          </w:p>
        </w:tc>
        <w:tc>
          <w:tcPr>
            <w:tcW w:w="3184" w:type="dxa"/>
            <w:noWrap w:val="0"/>
            <w:vAlign w:val="center"/>
          </w:tcPr>
          <w:p>
            <w:pPr>
              <w:widowControl/>
              <w:spacing w:line="320" w:lineRule="exact"/>
              <w:jc w:val="left"/>
              <w:rPr>
                <w:rFonts w:hint="eastAsia" w:ascii="Calibri" w:hAnsi="Calibri" w:eastAsia="仿宋_GB2312" w:cs="Times New Roman"/>
                <w:kern w:val="0"/>
                <w:sz w:val="24"/>
                <w:szCs w:val="24"/>
                <w:lang w:val="en-US" w:eastAsia="zh-CN" w:bidi="ar-SA"/>
              </w:rPr>
            </w:pPr>
            <w:r>
              <w:rPr>
                <w:rFonts w:hint="eastAsia" w:eastAsia="仿宋_GB2312" w:cs="Times New Roman"/>
                <w:kern w:val="0"/>
                <w:sz w:val="24"/>
                <w:szCs w:val="24"/>
              </w:rPr>
              <w:t>反映</w:t>
            </w:r>
            <w:r>
              <w:rPr>
                <w:rFonts w:hint="eastAsia" w:eastAsia="仿宋_GB2312" w:cs="Times New Roman"/>
                <w:kern w:val="0"/>
                <w:sz w:val="24"/>
                <w:szCs w:val="24"/>
                <w:lang w:eastAsia="zh-CN"/>
              </w:rPr>
              <w:t>2023</w:t>
            </w:r>
            <w:r>
              <w:rPr>
                <w:rFonts w:hint="eastAsia" w:eastAsia="仿宋_GB2312" w:cs="Times New Roman"/>
                <w:kern w:val="0"/>
                <w:sz w:val="24"/>
                <w:szCs w:val="24"/>
              </w:rPr>
              <w:t>年</w:t>
            </w:r>
            <w:r>
              <w:rPr>
                <w:rFonts w:hint="eastAsia" w:eastAsia="仿宋_GB2312" w:cs="Times New Roman"/>
                <w:kern w:val="0"/>
                <w:sz w:val="24"/>
                <w:szCs w:val="24"/>
                <w:lang w:eastAsia="zh-CN"/>
              </w:rPr>
              <w:t>曲江区</w:t>
            </w:r>
            <w:r>
              <w:rPr>
                <w:rFonts w:hint="eastAsia" w:eastAsia="仿宋_GB2312" w:cs="Times New Roman"/>
                <w:sz w:val="24"/>
                <w:szCs w:val="20"/>
                <w:lang w:val="en-US" w:eastAsia="zh-CN"/>
              </w:rPr>
              <w:t>农产品质量安全监测</w:t>
            </w:r>
            <w:r>
              <w:rPr>
                <w:rFonts w:hint="eastAsia" w:eastAsia="仿宋_GB2312" w:cs="Times New Roman"/>
                <w:kern w:val="0"/>
                <w:sz w:val="24"/>
                <w:szCs w:val="24"/>
                <w:lang w:val="en-US" w:eastAsia="zh-CN"/>
              </w:rPr>
              <w:t>任务</w:t>
            </w:r>
            <w:r>
              <w:rPr>
                <w:rFonts w:hint="eastAsia" w:eastAsia="仿宋_GB2312" w:cs="Times New Roman"/>
                <w:kern w:val="0"/>
                <w:sz w:val="24"/>
                <w:szCs w:val="24"/>
              </w:rPr>
              <w:t>完成情况</w:t>
            </w:r>
            <w:r>
              <w:rPr>
                <w:rFonts w:hint="eastAsia" w:eastAsia="仿宋_GB2312" w:cs="Times New Roman"/>
                <w:kern w:val="0"/>
                <w:sz w:val="24"/>
                <w:szCs w:val="24"/>
                <w:lang w:eastAsia="zh-CN"/>
              </w:rPr>
              <w:t>。</w:t>
            </w:r>
          </w:p>
        </w:tc>
        <w:tc>
          <w:tcPr>
            <w:tcW w:w="4725" w:type="dxa"/>
            <w:noWrap w:val="0"/>
            <w:vAlign w:val="center"/>
          </w:tcPr>
          <w:p>
            <w:pPr>
              <w:widowControl/>
              <w:numPr>
                <w:ilvl w:val="0"/>
                <w:numId w:val="0"/>
              </w:numPr>
              <w:spacing w:line="320" w:lineRule="exact"/>
              <w:ind w:left="0" w:leftChars="0" w:firstLine="0" w:firstLineChars="0"/>
              <w:jc w:val="left"/>
              <w:rPr>
                <w:rFonts w:hint="eastAsia" w:ascii="Calibri" w:hAnsi="Calibri" w:eastAsia="仿宋_GB2312" w:cs="Times New Roman"/>
                <w:kern w:val="2"/>
                <w:sz w:val="24"/>
                <w:szCs w:val="20"/>
                <w:lang w:val="en-US" w:eastAsia="zh-CN" w:bidi="ar-SA"/>
              </w:rPr>
            </w:pPr>
            <w:r>
              <w:rPr>
                <w:rFonts w:hint="eastAsia" w:eastAsia="仿宋_GB2312" w:cs="Times New Roman"/>
                <w:sz w:val="24"/>
                <w:szCs w:val="20"/>
                <w:lang w:val="en-US" w:eastAsia="zh-CN"/>
              </w:rPr>
              <w:t>农产品质量安全风险监测样本量和监督抽查样品量达到400次，食用林产品监测达到28批次，得满分；</w:t>
            </w:r>
            <w:r>
              <w:rPr>
                <w:rFonts w:hint="eastAsia" w:eastAsia="仿宋_GB2312" w:cs="Times New Roman"/>
                <w:sz w:val="24"/>
                <w:szCs w:val="20"/>
              </w:rPr>
              <w:t>否则按完成比例</w:t>
            </w:r>
            <w:r>
              <w:rPr>
                <w:rFonts w:hint="eastAsia" w:eastAsia="仿宋_GB2312" w:cs="Times New Roman"/>
                <w:sz w:val="24"/>
                <w:szCs w:val="20"/>
                <w:lang w:val="en-US" w:eastAsia="zh-CN"/>
              </w:rPr>
              <w:t>得</w:t>
            </w:r>
            <w:r>
              <w:rPr>
                <w:rFonts w:hint="eastAsia" w:eastAsia="仿宋_GB2312" w:cs="Times New Roman"/>
                <w:sz w:val="24"/>
                <w:szCs w:val="20"/>
              </w:rPr>
              <w:t>分。</w:t>
            </w:r>
          </w:p>
        </w:tc>
        <w:tc>
          <w:tcPr>
            <w:tcW w:w="810" w:type="dxa"/>
            <w:noWrap w:val="0"/>
            <w:vAlign w:val="center"/>
          </w:tcPr>
          <w:p>
            <w:pPr>
              <w:widowControl/>
              <w:spacing w:line="320" w:lineRule="exact"/>
              <w:jc w:val="center"/>
              <w:rPr>
                <w:rFonts w:hint="default" w:ascii="Times New Roman" w:hAnsi="Times New Roman" w:eastAsia="仿宋_GB2312" w:cs="Times New Roman"/>
                <w:color w:val="000000"/>
                <w:kern w:val="0"/>
                <w:sz w:val="24"/>
                <w:szCs w:val="24"/>
                <w:lang w:val="en-US" w:eastAsia="zh-CN" w:bidi="ar-SA"/>
              </w:rPr>
            </w:pPr>
            <w:r>
              <w:rPr>
                <w:rFonts w:hint="eastAsia" w:ascii="Times New Roman" w:hAnsi="Times New Roman" w:eastAsia="仿宋_GB2312" w:cs="Times New Roman"/>
                <w:color w:val="000000"/>
                <w:kern w:val="0"/>
                <w:sz w:val="24"/>
                <w:szCs w:val="24"/>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rPr>
                <w:rFonts w:eastAsia="仿宋_GB2312" w:cs="Times New Roman"/>
                <w:kern w:val="0"/>
                <w:sz w:val="24"/>
                <w:szCs w:val="24"/>
              </w:rPr>
            </w:pPr>
          </w:p>
        </w:tc>
        <w:tc>
          <w:tcPr>
            <w:tcW w:w="615" w:type="dxa"/>
            <w:vMerge w:val="continue"/>
            <w:noWrap w:val="0"/>
            <w:vAlign w:val="center"/>
          </w:tcPr>
          <w:p>
            <w:pPr>
              <w:widowControl/>
              <w:spacing w:line="320" w:lineRule="exact"/>
              <w:jc w:val="center"/>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center"/>
              <w:rPr>
                <w:rFonts w:eastAsia="仿宋_GB2312" w:cs="Times New Roman"/>
                <w:kern w:val="0"/>
                <w:sz w:val="24"/>
                <w:szCs w:val="24"/>
              </w:rPr>
            </w:pPr>
          </w:p>
        </w:tc>
        <w:tc>
          <w:tcPr>
            <w:tcW w:w="1320" w:type="dxa"/>
            <w:noWrap w:val="0"/>
            <w:vAlign w:val="center"/>
          </w:tcPr>
          <w:p>
            <w:pPr>
              <w:widowControl/>
              <w:spacing w:line="320" w:lineRule="exact"/>
              <w:jc w:val="left"/>
              <w:rPr>
                <w:rFonts w:hint="eastAsia" w:ascii="Times New Roman" w:hAnsi="Times New Roman" w:eastAsia="仿宋_GB2312" w:cs="Times New Roman"/>
                <w:color w:val="000000"/>
                <w:kern w:val="0"/>
                <w:sz w:val="24"/>
                <w:szCs w:val="24"/>
                <w:lang w:val="en-US" w:eastAsia="zh-CN" w:bidi="ar-SA"/>
              </w:rPr>
            </w:pPr>
            <w:r>
              <w:rPr>
                <w:rFonts w:hint="eastAsia" w:eastAsia="仿宋_GB2312" w:cs="Times New Roman"/>
                <w:kern w:val="0"/>
                <w:sz w:val="24"/>
                <w:szCs w:val="24"/>
              </w:rPr>
              <w:t>高标准农田建设</w:t>
            </w:r>
          </w:p>
        </w:tc>
        <w:tc>
          <w:tcPr>
            <w:tcW w:w="611" w:type="dxa"/>
            <w:noWrap w:val="0"/>
            <w:vAlign w:val="center"/>
          </w:tcPr>
          <w:p>
            <w:pPr>
              <w:widowControl/>
              <w:spacing w:line="320" w:lineRule="exact"/>
              <w:jc w:val="center"/>
              <w:rPr>
                <w:rFonts w:hint="eastAsia" w:ascii="Times New Roman" w:hAnsi="Times New Roman" w:eastAsia="仿宋_GB2312" w:cs="Times New Roman"/>
                <w:color w:val="000000"/>
                <w:kern w:val="0"/>
                <w:sz w:val="24"/>
                <w:szCs w:val="24"/>
                <w:lang w:val="en-US" w:eastAsia="zh-CN" w:bidi="ar-SA"/>
              </w:rPr>
            </w:pPr>
            <w:r>
              <w:rPr>
                <w:rFonts w:hint="eastAsia" w:eastAsia="仿宋_GB2312" w:cs="Times New Roman"/>
                <w:kern w:val="0"/>
                <w:sz w:val="24"/>
                <w:szCs w:val="24"/>
                <w:lang w:val="en-US" w:eastAsia="zh-CN"/>
              </w:rPr>
              <w:t>3</w:t>
            </w:r>
          </w:p>
        </w:tc>
        <w:tc>
          <w:tcPr>
            <w:tcW w:w="3184" w:type="dxa"/>
            <w:noWrap w:val="0"/>
            <w:vAlign w:val="center"/>
          </w:tcPr>
          <w:p>
            <w:pPr>
              <w:widowControl/>
              <w:spacing w:line="320" w:lineRule="exact"/>
              <w:jc w:val="left"/>
              <w:rPr>
                <w:rFonts w:hint="eastAsia" w:ascii="Times New Roman" w:hAnsi="Times New Roman" w:eastAsia="仿宋_GB2312" w:cs="Times New Roman"/>
                <w:color w:val="000000"/>
                <w:kern w:val="0"/>
                <w:sz w:val="24"/>
                <w:szCs w:val="24"/>
                <w:lang w:val="en-US" w:eastAsia="zh-CN" w:bidi="ar-SA"/>
              </w:rPr>
            </w:pPr>
            <w:r>
              <w:rPr>
                <w:rFonts w:hint="eastAsia" w:eastAsia="仿宋_GB2312" w:cs="Times New Roman"/>
                <w:kern w:val="0"/>
                <w:sz w:val="24"/>
                <w:szCs w:val="24"/>
              </w:rPr>
              <w:t>反映</w:t>
            </w:r>
            <w:r>
              <w:rPr>
                <w:rFonts w:hint="eastAsia" w:eastAsia="仿宋_GB2312" w:cs="Times New Roman"/>
                <w:kern w:val="0"/>
                <w:sz w:val="24"/>
                <w:szCs w:val="24"/>
                <w:lang w:eastAsia="zh-CN"/>
              </w:rPr>
              <w:t>2023</w:t>
            </w:r>
            <w:r>
              <w:rPr>
                <w:rFonts w:hint="eastAsia" w:eastAsia="仿宋_GB2312" w:cs="Times New Roman"/>
                <w:kern w:val="0"/>
                <w:sz w:val="24"/>
                <w:szCs w:val="24"/>
              </w:rPr>
              <w:t>年</w:t>
            </w:r>
            <w:r>
              <w:rPr>
                <w:rFonts w:hint="eastAsia" w:eastAsia="仿宋_GB2312" w:cs="Times New Roman"/>
                <w:kern w:val="0"/>
                <w:sz w:val="24"/>
                <w:szCs w:val="24"/>
                <w:lang w:eastAsia="zh-CN"/>
              </w:rPr>
              <w:t>曲江区</w:t>
            </w:r>
            <w:r>
              <w:rPr>
                <w:rFonts w:hint="eastAsia" w:eastAsia="仿宋_GB2312" w:cs="Times New Roman"/>
                <w:kern w:val="0"/>
                <w:sz w:val="24"/>
                <w:szCs w:val="24"/>
              </w:rPr>
              <w:t>高标准农田建设</w:t>
            </w:r>
            <w:r>
              <w:rPr>
                <w:rFonts w:hint="eastAsia" w:eastAsia="仿宋_GB2312" w:cs="Times New Roman"/>
                <w:kern w:val="0"/>
                <w:sz w:val="24"/>
                <w:szCs w:val="24"/>
                <w:lang w:val="en-US" w:eastAsia="zh-CN"/>
              </w:rPr>
              <w:t>任务</w:t>
            </w:r>
            <w:r>
              <w:rPr>
                <w:rFonts w:hint="eastAsia" w:eastAsia="仿宋_GB2312" w:cs="Times New Roman"/>
                <w:kern w:val="0"/>
                <w:sz w:val="24"/>
                <w:szCs w:val="24"/>
              </w:rPr>
              <w:t>完成情况</w:t>
            </w:r>
            <w:r>
              <w:rPr>
                <w:rFonts w:hint="eastAsia" w:eastAsia="仿宋_GB2312" w:cs="Times New Roman"/>
                <w:kern w:val="0"/>
                <w:sz w:val="24"/>
                <w:szCs w:val="24"/>
                <w:lang w:eastAsia="zh-CN"/>
              </w:rPr>
              <w:t>。</w:t>
            </w:r>
          </w:p>
        </w:tc>
        <w:tc>
          <w:tcPr>
            <w:tcW w:w="4725" w:type="dxa"/>
            <w:noWrap w:val="0"/>
            <w:vAlign w:val="center"/>
          </w:tcPr>
          <w:p>
            <w:pPr>
              <w:widowControl/>
              <w:spacing w:line="320" w:lineRule="exact"/>
              <w:jc w:val="left"/>
              <w:rPr>
                <w:rFonts w:hint="eastAsia" w:ascii="Times New Roman" w:hAnsi="Times New Roman" w:eastAsia="仿宋_GB2312" w:cs="Times New Roman"/>
                <w:color w:val="000000"/>
                <w:kern w:val="0"/>
                <w:sz w:val="24"/>
                <w:szCs w:val="24"/>
                <w:lang w:val="en-US" w:eastAsia="zh-CN" w:bidi="ar-SA"/>
              </w:rPr>
            </w:pPr>
            <w:r>
              <w:rPr>
                <w:rFonts w:hint="eastAsia" w:eastAsia="仿宋_GB2312" w:cs="Times New Roman"/>
                <w:kern w:val="0"/>
                <w:sz w:val="24"/>
                <w:szCs w:val="24"/>
              </w:rPr>
              <w:t>完成</w:t>
            </w:r>
            <w:r>
              <w:rPr>
                <w:rFonts w:hint="eastAsia" w:eastAsia="仿宋_GB2312" w:cs="Times New Roman"/>
                <w:kern w:val="0"/>
                <w:sz w:val="24"/>
                <w:szCs w:val="24"/>
                <w:lang w:eastAsia="zh-CN"/>
              </w:rPr>
              <w:t>2023</w:t>
            </w:r>
            <w:r>
              <w:rPr>
                <w:rFonts w:hint="eastAsia" w:eastAsia="仿宋_GB2312" w:cs="Times New Roman"/>
                <w:kern w:val="0"/>
                <w:sz w:val="24"/>
                <w:szCs w:val="24"/>
              </w:rPr>
              <w:t>年度</w:t>
            </w:r>
            <w:r>
              <w:rPr>
                <w:rFonts w:hint="eastAsia" w:eastAsia="仿宋_GB2312" w:cs="Times New Roman"/>
                <w:kern w:val="0"/>
                <w:sz w:val="24"/>
                <w:szCs w:val="24"/>
                <w:lang w:val="en-US" w:eastAsia="zh-CN"/>
              </w:rPr>
              <w:t>完成新建高标准农田6500亩，改造提升高标准农田17600亩</w:t>
            </w:r>
            <w:r>
              <w:rPr>
                <w:rFonts w:hint="eastAsia" w:eastAsia="仿宋_GB2312" w:cs="Times New Roman"/>
                <w:kern w:val="0"/>
                <w:sz w:val="24"/>
                <w:szCs w:val="24"/>
              </w:rPr>
              <w:t>，得</w:t>
            </w:r>
            <w:r>
              <w:rPr>
                <w:rFonts w:hint="eastAsia" w:eastAsia="仿宋_GB2312" w:cs="Times New Roman"/>
                <w:kern w:val="0"/>
                <w:sz w:val="24"/>
                <w:szCs w:val="24"/>
                <w:lang w:val="en-US" w:eastAsia="zh-CN"/>
              </w:rPr>
              <w:t>满</w:t>
            </w:r>
            <w:r>
              <w:rPr>
                <w:rFonts w:hint="eastAsia" w:eastAsia="仿宋_GB2312" w:cs="Times New Roman"/>
                <w:kern w:val="0"/>
                <w:sz w:val="24"/>
                <w:szCs w:val="24"/>
              </w:rPr>
              <w:t>分</w:t>
            </w:r>
            <w:r>
              <w:rPr>
                <w:rFonts w:hint="eastAsia" w:eastAsia="仿宋_GB2312" w:cs="Times New Roman"/>
                <w:kern w:val="0"/>
                <w:sz w:val="24"/>
                <w:szCs w:val="24"/>
                <w:lang w:eastAsia="zh-CN"/>
              </w:rPr>
              <w:t>；</w:t>
            </w:r>
            <w:r>
              <w:rPr>
                <w:rFonts w:hint="eastAsia" w:eastAsia="仿宋_GB2312" w:cs="Times New Roman"/>
                <w:kern w:val="0"/>
                <w:sz w:val="24"/>
                <w:szCs w:val="24"/>
              </w:rPr>
              <w:t>否则按完成</w:t>
            </w:r>
            <w:r>
              <w:rPr>
                <w:rFonts w:hint="eastAsia" w:eastAsia="仿宋_GB2312" w:cs="Times New Roman"/>
                <w:kern w:val="0"/>
                <w:sz w:val="24"/>
                <w:szCs w:val="24"/>
                <w:lang w:val="en-US" w:eastAsia="zh-CN"/>
              </w:rPr>
              <w:t>的</w:t>
            </w:r>
            <w:r>
              <w:rPr>
                <w:rFonts w:hint="eastAsia" w:eastAsia="仿宋_GB2312" w:cs="Times New Roman"/>
                <w:kern w:val="0"/>
                <w:sz w:val="24"/>
                <w:szCs w:val="24"/>
              </w:rPr>
              <w:t>比例得分。</w:t>
            </w:r>
          </w:p>
        </w:tc>
        <w:tc>
          <w:tcPr>
            <w:tcW w:w="810" w:type="dxa"/>
            <w:noWrap w:val="0"/>
            <w:vAlign w:val="center"/>
          </w:tcPr>
          <w:p>
            <w:pPr>
              <w:widowControl/>
              <w:spacing w:line="320" w:lineRule="exact"/>
              <w:jc w:val="center"/>
              <w:rPr>
                <w:rFonts w:hint="default" w:ascii="Times New Roman" w:hAnsi="Times New Roman" w:eastAsia="仿宋_GB2312" w:cs="Times New Roman"/>
                <w:color w:val="000000"/>
                <w:kern w:val="0"/>
                <w:sz w:val="24"/>
                <w:szCs w:val="24"/>
                <w:lang w:val="en-US" w:eastAsia="zh-CN" w:bidi="ar-SA"/>
              </w:rPr>
            </w:pPr>
            <w:r>
              <w:rPr>
                <w:rFonts w:hint="eastAsia" w:ascii="Times New Roman" w:hAnsi="Times New Roman" w:eastAsia="仿宋_GB2312" w:cs="Times New Roman"/>
                <w:color w:val="000000"/>
                <w:kern w:val="0"/>
                <w:sz w:val="24"/>
                <w:szCs w:val="24"/>
                <w:lang w:val="en-US" w:eastAsia="zh-CN"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rPr>
                <w:rFonts w:eastAsia="仿宋_GB2312" w:cs="Times New Roman"/>
                <w:kern w:val="0"/>
                <w:sz w:val="24"/>
                <w:szCs w:val="24"/>
              </w:rPr>
            </w:pPr>
          </w:p>
        </w:tc>
        <w:tc>
          <w:tcPr>
            <w:tcW w:w="615" w:type="dxa"/>
            <w:vMerge w:val="continue"/>
            <w:noWrap w:val="0"/>
            <w:vAlign w:val="center"/>
          </w:tcPr>
          <w:p>
            <w:pPr>
              <w:widowControl/>
              <w:spacing w:line="320" w:lineRule="exact"/>
              <w:jc w:val="center"/>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center"/>
              <w:rPr>
                <w:rFonts w:eastAsia="仿宋_GB2312" w:cs="Times New Roman"/>
                <w:kern w:val="0"/>
                <w:sz w:val="24"/>
                <w:szCs w:val="24"/>
              </w:rPr>
            </w:pPr>
          </w:p>
        </w:tc>
        <w:tc>
          <w:tcPr>
            <w:tcW w:w="1320"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eastAsia="仿宋_GB2312" w:cs="Times New Roman"/>
                <w:sz w:val="24"/>
                <w:szCs w:val="20"/>
              </w:rPr>
              <w:t>受污染耕地安全利用和种植结构调整</w:t>
            </w:r>
          </w:p>
        </w:tc>
        <w:tc>
          <w:tcPr>
            <w:tcW w:w="611"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eastAsia="仿宋_GB2312" w:cs="Times New Roman"/>
                <w:kern w:val="0"/>
                <w:sz w:val="24"/>
                <w:szCs w:val="24"/>
              </w:rPr>
              <w:t>反映</w:t>
            </w:r>
            <w:r>
              <w:rPr>
                <w:rFonts w:hint="eastAsia" w:eastAsia="仿宋_GB2312" w:cs="Times New Roman"/>
                <w:kern w:val="0"/>
                <w:sz w:val="24"/>
                <w:szCs w:val="24"/>
                <w:lang w:eastAsia="zh-CN"/>
              </w:rPr>
              <w:t>2023</w:t>
            </w:r>
            <w:r>
              <w:rPr>
                <w:rFonts w:hint="eastAsia" w:eastAsia="仿宋_GB2312" w:cs="Times New Roman"/>
                <w:kern w:val="0"/>
                <w:sz w:val="24"/>
                <w:szCs w:val="24"/>
              </w:rPr>
              <w:t>年度</w:t>
            </w:r>
            <w:r>
              <w:rPr>
                <w:rFonts w:hint="eastAsia" w:eastAsia="仿宋_GB2312" w:cs="Times New Roman"/>
                <w:kern w:val="0"/>
                <w:sz w:val="24"/>
                <w:szCs w:val="24"/>
                <w:lang w:eastAsia="zh-CN"/>
              </w:rPr>
              <w:t>曲江区</w:t>
            </w:r>
            <w:r>
              <w:rPr>
                <w:rFonts w:hint="eastAsia" w:eastAsia="仿宋_GB2312" w:cs="Times New Roman"/>
                <w:sz w:val="24"/>
                <w:szCs w:val="20"/>
                <w:lang w:val="en-US" w:eastAsia="zh-CN"/>
              </w:rPr>
              <w:t>受污染耕地安全利用和种植结构调整工作</w:t>
            </w:r>
            <w:r>
              <w:rPr>
                <w:rFonts w:hint="eastAsia" w:eastAsia="仿宋_GB2312" w:cs="Times New Roman"/>
                <w:kern w:val="0"/>
                <w:sz w:val="24"/>
                <w:szCs w:val="24"/>
                <w:lang w:val="en-US" w:eastAsia="zh-CN"/>
              </w:rPr>
              <w:t>任务</w:t>
            </w:r>
            <w:r>
              <w:rPr>
                <w:rFonts w:hint="eastAsia" w:eastAsia="仿宋_GB2312" w:cs="Times New Roman"/>
                <w:sz w:val="24"/>
                <w:szCs w:val="20"/>
              </w:rPr>
              <w:t>情况</w:t>
            </w:r>
            <w:r>
              <w:rPr>
                <w:rFonts w:hint="eastAsia" w:eastAsia="仿宋_GB2312" w:cs="Times New Roman"/>
                <w:sz w:val="24"/>
                <w:szCs w:val="20"/>
                <w:lang w:eastAsia="zh-CN"/>
              </w:rPr>
              <w:t>。</w:t>
            </w:r>
          </w:p>
        </w:tc>
        <w:tc>
          <w:tcPr>
            <w:tcW w:w="4725" w:type="dxa"/>
            <w:noWrap w:val="0"/>
            <w:vAlign w:val="center"/>
          </w:tcPr>
          <w:p>
            <w:pPr>
              <w:widowControl/>
              <w:spacing w:line="320" w:lineRule="exact"/>
              <w:jc w:val="left"/>
              <w:rPr>
                <w:rFonts w:eastAsia="仿宋_GB2312" w:cs="Times New Roman"/>
                <w:kern w:val="0"/>
                <w:sz w:val="24"/>
                <w:szCs w:val="24"/>
              </w:rPr>
            </w:pPr>
            <w:r>
              <w:rPr>
                <w:rFonts w:hint="eastAsia" w:eastAsia="仿宋_GB2312" w:cs="Times New Roman"/>
                <w:kern w:val="0"/>
                <w:sz w:val="24"/>
                <w:szCs w:val="24"/>
                <w:lang w:eastAsia="zh-CN"/>
              </w:rPr>
              <w:t>受污染耕地实现安全利用的面积达到98292.74亩，重度污染耕地种植结构调整或退耕还林面积达到18402.27亩</w:t>
            </w:r>
            <w:r>
              <w:rPr>
                <w:rFonts w:hint="eastAsia" w:eastAsia="仿宋_GB2312" w:cs="Times New Roman"/>
                <w:sz w:val="24"/>
                <w:szCs w:val="20"/>
              </w:rPr>
              <w:t>，得</w:t>
            </w:r>
            <w:r>
              <w:rPr>
                <w:rFonts w:hint="eastAsia" w:eastAsia="仿宋_GB2312" w:cs="Times New Roman"/>
                <w:sz w:val="24"/>
                <w:szCs w:val="20"/>
                <w:lang w:val="en-US" w:eastAsia="zh-CN"/>
              </w:rPr>
              <w:t>满</w:t>
            </w:r>
            <w:r>
              <w:rPr>
                <w:rFonts w:hint="eastAsia" w:eastAsia="仿宋_GB2312" w:cs="Times New Roman"/>
                <w:sz w:val="24"/>
                <w:szCs w:val="20"/>
              </w:rPr>
              <w:t>分</w:t>
            </w:r>
            <w:r>
              <w:rPr>
                <w:rFonts w:hint="eastAsia" w:eastAsia="仿宋_GB2312" w:cs="Times New Roman"/>
                <w:sz w:val="24"/>
                <w:szCs w:val="20"/>
                <w:lang w:eastAsia="zh-CN"/>
              </w:rPr>
              <w:t>；</w:t>
            </w:r>
            <w:r>
              <w:rPr>
                <w:rFonts w:hint="eastAsia" w:eastAsia="仿宋_GB2312" w:cs="Times New Roman"/>
                <w:sz w:val="24"/>
                <w:szCs w:val="20"/>
              </w:rPr>
              <w:t>否则按完成比例</w:t>
            </w:r>
            <w:r>
              <w:rPr>
                <w:rFonts w:hint="eastAsia" w:eastAsia="仿宋_GB2312" w:cs="Times New Roman"/>
                <w:sz w:val="24"/>
                <w:szCs w:val="20"/>
                <w:lang w:val="en-US" w:eastAsia="zh-CN"/>
              </w:rPr>
              <w:t>得</w:t>
            </w:r>
            <w:r>
              <w:rPr>
                <w:rFonts w:hint="eastAsia" w:eastAsia="仿宋_GB2312" w:cs="Times New Roman"/>
                <w:sz w:val="24"/>
                <w:szCs w:val="20"/>
              </w:rPr>
              <w:t>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rPr>
                <w:rFonts w:eastAsia="仿宋_GB2312" w:cs="Times New Roman"/>
                <w:kern w:val="0"/>
                <w:sz w:val="24"/>
                <w:szCs w:val="24"/>
              </w:rPr>
            </w:pPr>
          </w:p>
        </w:tc>
        <w:tc>
          <w:tcPr>
            <w:tcW w:w="615" w:type="dxa"/>
            <w:vMerge w:val="continue"/>
            <w:noWrap w:val="0"/>
            <w:vAlign w:val="center"/>
          </w:tcPr>
          <w:p>
            <w:pPr>
              <w:widowControl/>
              <w:spacing w:line="320" w:lineRule="exact"/>
              <w:jc w:val="center"/>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center"/>
              <w:rPr>
                <w:rFonts w:eastAsia="仿宋_GB2312" w:cs="Times New Roman"/>
                <w:kern w:val="0"/>
                <w:sz w:val="24"/>
                <w:szCs w:val="24"/>
              </w:rPr>
            </w:pPr>
          </w:p>
        </w:tc>
        <w:tc>
          <w:tcPr>
            <w:tcW w:w="1320" w:type="dxa"/>
            <w:noWrap w:val="0"/>
            <w:vAlign w:val="center"/>
          </w:tcPr>
          <w:p>
            <w:pPr>
              <w:widowControl/>
              <w:spacing w:line="320" w:lineRule="exact"/>
              <w:jc w:val="left"/>
              <w:rPr>
                <w:rFonts w:hint="eastAsia" w:eastAsia="仿宋_GB2312" w:cs="Times New Roman"/>
                <w:kern w:val="0"/>
                <w:sz w:val="24"/>
                <w:szCs w:val="24"/>
              </w:rPr>
            </w:pPr>
            <w:r>
              <w:rPr>
                <w:rFonts w:hint="eastAsia" w:eastAsia="仿宋_GB2312" w:cs="Times New Roman"/>
                <w:kern w:val="0"/>
                <w:sz w:val="24"/>
                <w:szCs w:val="24"/>
              </w:rPr>
              <w:t>第三次全国土壤普查</w:t>
            </w:r>
          </w:p>
        </w:tc>
        <w:tc>
          <w:tcPr>
            <w:tcW w:w="611"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eastAsia="仿宋_GB2312" w:cs="Times New Roman"/>
                <w:kern w:val="0"/>
                <w:sz w:val="24"/>
                <w:szCs w:val="24"/>
              </w:rPr>
              <w:t>反映</w:t>
            </w:r>
            <w:r>
              <w:rPr>
                <w:rFonts w:hint="eastAsia" w:eastAsia="仿宋_GB2312" w:cs="Times New Roman"/>
                <w:kern w:val="0"/>
                <w:sz w:val="24"/>
                <w:szCs w:val="24"/>
                <w:lang w:eastAsia="zh-CN"/>
              </w:rPr>
              <w:t>2023</w:t>
            </w:r>
            <w:r>
              <w:rPr>
                <w:rFonts w:hint="eastAsia" w:eastAsia="仿宋_GB2312" w:cs="Times New Roman"/>
                <w:kern w:val="0"/>
                <w:sz w:val="24"/>
                <w:szCs w:val="24"/>
              </w:rPr>
              <w:t>年度</w:t>
            </w:r>
            <w:r>
              <w:rPr>
                <w:rFonts w:hint="eastAsia" w:eastAsia="仿宋_GB2312" w:cs="Times New Roman"/>
                <w:kern w:val="0"/>
                <w:sz w:val="24"/>
                <w:szCs w:val="24"/>
                <w:lang w:eastAsia="zh-CN"/>
              </w:rPr>
              <w:t>曲江区</w:t>
            </w:r>
            <w:r>
              <w:rPr>
                <w:rFonts w:hint="eastAsia" w:eastAsia="仿宋_GB2312" w:cs="Times New Roman"/>
                <w:kern w:val="0"/>
                <w:sz w:val="24"/>
                <w:szCs w:val="24"/>
              </w:rPr>
              <w:t>第三次全国土壤普查</w:t>
            </w:r>
            <w:r>
              <w:rPr>
                <w:rFonts w:hint="eastAsia" w:eastAsia="仿宋_GB2312" w:cs="Times New Roman"/>
                <w:kern w:val="0"/>
                <w:sz w:val="24"/>
                <w:szCs w:val="24"/>
                <w:lang w:val="en-US" w:eastAsia="zh-CN"/>
              </w:rPr>
              <w:t>任务</w:t>
            </w:r>
            <w:r>
              <w:rPr>
                <w:rFonts w:hint="eastAsia" w:eastAsia="仿宋_GB2312" w:cs="Times New Roman"/>
                <w:sz w:val="24"/>
                <w:szCs w:val="20"/>
                <w:lang w:val="en-US" w:eastAsia="zh-CN"/>
              </w:rPr>
              <w:t>完成</w:t>
            </w:r>
            <w:r>
              <w:rPr>
                <w:rFonts w:hint="eastAsia" w:eastAsia="仿宋_GB2312" w:cs="Times New Roman"/>
                <w:sz w:val="24"/>
                <w:szCs w:val="20"/>
              </w:rPr>
              <w:t>情况</w:t>
            </w:r>
            <w:r>
              <w:rPr>
                <w:rFonts w:hint="eastAsia" w:eastAsia="仿宋_GB2312" w:cs="Times New Roman"/>
                <w:sz w:val="24"/>
                <w:szCs w:val="20"/>
                <w:lang w:eastAsia="zh-CN"/>
              </w:rPr>
              <w:t>。</w:t>
            </w:r>
          </w:p>
        </w:tc>
        <w:tc>
          <w:tcPr>
            <w:tcW w:w="4725"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eastAsia="仿宋_GB2312" w:cs="Times New Roman"/>
                <w:kern w:val="0"/>
                <w:sz w:val="24"/>
                <w:szCs w:val="24"/>
                <w:lang w:eastAsia="zh-CN"/>
              </w:rPr>
              <w:t>第三次全国土壤普查的外业调查采样工作完成率达到50%以上，内业样品检测工作完成率达到30%以上，得满分；</w:t>
            </w:r>
            <w:r>
              <w:rPr>
                <w:rFonts w:hint="eastAsia" w:eastAsia="仿宋_GB2312" w:cs="Times New Roman"/>
                <w:sz w:val="24"/>
                <w:szCs w:val="20"/>
              </w:rPr>
              <w:t>否则按完成比例</w:t>
            </w:r>
            <w:r>
              <w:rPr>
                <w:rFonts w:hint="eastAsia" w:eastAsia="仿宋_GB2312" w:cs="Times New Roman"/>
                <w:sz w:val="24"/>
                <w:szCs w:val="20"/>
                <w:lang w:val="en-US" w:eastAsia="zh-CN"/>
              </w:rPr>
              <w:t>得</w:t>
            </w:r>
            <w:r>
              <w:rPr>
                <w:rFonts w:hint="eastAsia" w:eastAsia="仿宋_GB2312" w:cs="Times New Roman"/>
                <w:sz w:val="24"/>
                <w:szCs w:val="20"/>
              </w:rPr>
              <w:t>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rPr>
                <w:rFonts w:eastAsia="仿宋_GB2312" w:cs="Times New Roman"/>
                <w:kern w:val="0"/>
                <w:sz w:val="24"/>
                <w:szCs w:val="24"/>
              </w:rPr>
            </w:pPr>
          </w:p>
        </w:tc>
        <w:tc>
          <w:tcPr>
            <w:tcW w:w="615" w:type="dxa"/>
            <w:vMerge w:val="continue"/>
            <w:noWrap w:val="0"/>
            <w:vAlign w:val="center"/>
          </w:tcPr>
          <w:p>
            <w:pPr>
              <w:widowControl/>
              <w:spacing w:line="320" w:lineRule="exact"/>
              <w:jc w:val="center"/>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center"/>
              <w:rPr>
                <w:rFonts w:eastAsia="仿宋_GB2312" w:cs="Times New Roman"/>
                <w:kern w:val="0"/>
                <w:sz w:val="24"/>
                <w:szCs w:val="24"/>
              </w:rPr>
            </w:pPr>
          </w:p>
        </w:tc>
        <w:tc>
          <w:tcPr>
            <w:tcW w:w="1320" w:type="dxa"/>
            <w:noWrap w:val="0"/>
            <w:vAlign w:val="center"/>
          </w:tcPr>
          <w:p>
            <w:pPr>
              <w:widowControl/>
              <w:spacing w:line="320" w:lineRule="exact"/>
              <w:jc w:val="left"/>
              <w:rPr>
                <w:rFonts w:hint="default" w:eastAsia="仿宋_GB2312" w:cs="Times New Roman"/>
                <w:kern w:val="0"/>
                <w:sz w:val="24"/>
                <w:szCs w:val="24"/>
                <w:lang w:val="en-US" w:eastAsia="zh-CN"/>
              </w:rPr>
            </w:pPr>
            <w:r>
              <w:rPr>
                <w:rFonts w:hint="eastAsia" w:eastAsia="仿宋_GB2312" w:cs="Times New Roman"/>
                <w:sz w:val="24"/>
                <w:szCs w:val="20"/>
              </w:rPr>
              <w:t>河湖管护</w:t>
            </w:r>
          </w:p>
        </w:tc>
        <w:tc>
          <w:tcPr>
            <w:tcW w:w="611" w:type="dxa"/>
            <w:noWrap w:val="0"/>
            <w:vAlign w:val="center"/>
          </w:tcPr>
          <w:p>
            <w:pPr>
              <w:widowControl/>
              <w:spacing w:line="320" w:lineRule="exact"/>
              <w:jc w:val="center"/>
              <w:rPr>
                <w:rFonts w:hint="eastAsia" w:eastAsia="仿宋_GB2312" w:cs="Times New Roman"/>
                <w:kern w:val="0"/>
                <w:sz w:val="24"/>
                <w:szCs w:val="24"/>
                <w:lang w:eastAsia="zh-CN"/>
              </w:rPr>
            </w:pPr>
            <w:r>
              <w:rPr>
                <w:rFonts w:hint="eastAsia" w:eastAsia="仿宋_GB2312" w:cs="Times New Roman"/>
                <w:kern w:val="0"/>
                <w:sz w:val="24"/>
                <w:szCs w:val="24"/>
                <w:lang w:val="en-US" w:eastAsia="zh-CN"/>
              </w:rPr>
              <w:t>1</w:t>
            </w:r>
          </w:p>
        </w:tc>
        <w:tc>
          <w:tcPr>
            <w:tcW w:w="3184" w:type="dxa"/>
            <w:noWrap w:val="0"/>
            <w:vAlign w:val="center"/>
          </w:tcPr>
          <w:p>
            <w:pPr>
              <w:widowControl/>
              <w:spacing w:line="320" w:lineRule="exact"/>
              <w:jc w:val="left"/>
              <w:rPr>
                <w:rFonts w:eastAsia="仿宋_GB2312" w:cs="Times New Roman"/>
                <w:kern w:val="0"/>
                <w:sz w:val="24"/>
                <w:szCs w:val="24"/>
              </w:rPr>
            </w:pPr>
            <w:r>
              <w:rPr>
                <w:rFonts w:hint="eastAsia" w:eastAsia="仿宋_GB2312" w:cs="Times New Roman"/>
                <w:kern w:val="0"/>
                <w:sz w:val="24"/>
                <w:szCs w:val="24"/>
              </w:rPr>
              <w:t>反映</w:t>
            </w:r>
            <w:r>
              <w:rPr>
                <w:rFonts w:hint="eastAsia" w:eastAsia="仿宋_GB2312" w:cs="Times New Roman"/>
                <w:kern w:val="0"/>
                <w:sz w:val="24"/>
                <w:szCs w:val="24"/>
                <w:lang w:eastAsia="zh-CN"/>
              </w:rPr>
              <w:t>曲江区2023</w:t>
            </w:r>
            <w:r>
              <w:rPr>
                <w:rFonts w:hint="eastAsia" w:eastAsia="仿宋_GB2312" w:cs="Times New Roman"/>
                <w:kern w:val="0"/>
                <w:sz w:val="24"/>
                <w:szCs w:val="24"/>
              </w:rPr>
              <w:t>年</w:t>
            </w:r>
            <w:r>
              <w:rPr>
                <w:rFonts w:hint="eastAsia" w:eastAsia="仿宋_GB2312" w:cs="Times New Roman"/>
                <w:sz w:val="24"/>
                <w:szCs w:val="20"/>
              </w:rPr>
              <w:t>河湖管护</w:t>
            </w:r>
            <w:r>
              <w:rPr>
                <w:rFonts w:hint="eastAsia" w:eastAsia="仿宋_GB2312" w:cs="Times New Roman"/>
                <w:kern w:val="0"/>
                <w:sz w:val="24"/>
                <w:szCs w:val="24"/>
                <w:lang w:val="en-US" w:eastAsia="zh-CN"/>
              </w:rPr>
              <w:t>任务</w:t>
            </w:r>
            <w:r>
              <w:rPr>
                <w:rFonts w:hint="eastAsia" w:eastAsia="仿宋_GB2312" w:cs="Times New Roman"/>
                <w:kern w:val="0"/>
                <w:sz w:val="24"/>
                <w:szCs w:val="24"/>
              </w:rPr>
              <w:t>完成情况</w:t>
            </w:r>
          </w:p>
        </w:tc>
        <w:tc>
          <w:tcPr>
            <w:tcW w:w="4725" w:type="dxa"/>
            <w:noWrap w:val="0"/>
            <w:vAlign w:val="center"/>
          </w:tcPr>
          <w:p>
            <w:pPr>
              <w:widowControl/>
              <w:numPr>
                <w:ilvl w:val="0"/>
                <w:numId w:val="0"/>
              </w:numPr>
              <w:spacing w:line="320" w:lineRule="exact"/>
              <w:jc w:val="left"/>
              <w:rPr>
                <w:rFonts w:eastAsia="仿宋_GB2312" w:cs="Times New Roman"/>
                <w:kern w:val="0"/>
                <w:sz w:val="24"/>
                <w:szCs w:val="24"/>
              </w:rPr>
            </w:pPr>
            <w:r>
              <w:rPr>
                <w:rFonts w:hint="eastAsia" w:eastAsia="仿宋_GB2312" w:cs="Times New Roman"/>
                <w:kern w:val="0"/>
                <w:sz w:val="24"/>
                <w:szCs w:val="24"/>
              </w:rPr>
              <w:t>完成河湖管护</w:t>
            </w:r>
            <w:r>
              <w:rPr>
                <w:rFonts w:hint="eastAsia" w:eastAsia="仿宋_GB2312" w:cs="Times New Roman"/>
                <w:kern w:val="0"/>
                <w:sz w:val="24"/>
                <w:szCs w:val="24"/>
                <w:lang w:val="en-US" w:eastAsia="zh-CN"/>
              </w:rPr>
              <w:t>不少于250公里</w:t>
            </w:r>
            <w:r>
              <w:rPr>
                <w:rFonts w:hint="eastAsia" w:eastAsia="仿宋_GB2312" w:cs="Times New Roman"/>
                <w:sz w:val="24"/>
                <w:szCs w:val="20"/>
                <w:lang w:eastAsia="zh-CN"/>
              </w:rPr>
              <w:t>，</w:t>
            </w:r>
            <w:r>
              <w:rPr>
                <w:rFonts w:hint="eastAsia" w:eastAsia="仿宋_GB2312" w:cs="Times New Roman"/>
                <w:sz w:val="24"/>
                <w:szCs w:val="20"/>
              </w:rPr>
              <w:t>得</w:t>
            </w:r>
            <w:r>
              <w:rPr>
                <w:rFonts w:hint="eastAsia" w:eastAsia="仿宋_GB2312" w:cs="Times New Roman"/>
                <w:sz w:val="24"/>
                <w:szCs w:val="20"/>
                <w:lang w:val="en-US" w:eastAsia="zh-CN"/>
              </w:rPr>
              <w:t>1</w:t>
            </w:r>
            <w:r>
              <w:rPr>
                <w:rFonts w:hint="eastAsia" w:eastAsia="仿宋_GB2312" w:cs="Times New Roman"/>
                <w:sz w:val="24"/>
                <w:szCs w:val="20"/>
              </w:rPr>
              <w:t>分</w:t>
            </w:r>
            <w:r>
              <w:rPr>
                <w:rFonts w:hint="eastAsia" w:eastAsia="仿宋_GB2312" w:cs="Times New Roman"/>
                <w:sz w:val="24"/>
                <w:szCs w:val="20"/>
                <w:lang w:eastAsia="zh-CN"/>
              </w:rPr>
              <w:t>；</w:t>
            </w:r>
            <w:r>
              <w:rPr>
                <w:rFonts w:hint="eastAsia" w:eastAsia="仿宋_GB2312" w:cs="Times New Roman"/>
                <w:sz w:val="24"/>
                <w:szCs w:val="20"/>
              </w:rPr>
              <w:t>否则按完成的比例得分。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rPr>
                <w:rFonts w:eastAsia="仿宋_GB2312" w:cs="Times New Roman"/>
                <w:kern w:val="0"/>
                <w:sz w:val="24"/>
                <w:szCs w:val="24"/>
              </w:rPr>
            </w:pPr>
          </w:p>
        </w:tc>
        <w:tc>
          <w:tcPr>
            <w:tcW w:w="615" w:type="dxa"/>
            <w:vMerge w:val="continue"/>
            <w:noWrap w:val="0"/>
            <w:vAlign w:val="center"/>
          </w:tcPr>
          <w:p>
            <w:pPr>
              <w:widowControl/>
              <w:spacing w:line="320" w:lineRule="exact"/>
              <w:jc w:val="center"/>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center"/>
              <w:rPr>
                <w:rFonts w:eastAsia="仿宋_GB2312" w:cs="Times New Roman"/>
                <w:kern w:val="0"/>
                <w:sz w:val="24"/>
                <w:szCs w:val="24"/>
              </w:rPr>
            </w:pPr>
          </w:p>
        </w:tc>
        <w:tc>
          <w:tcPr>
            <w:tcW w:w="132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rPr>
              <w:t>病险水库除险加固</w:t>
            </w:r>
          </w:p>
        </w:tc>
        <w:tc>
          <w:tcPr>
            <w:tcW w:w="611" w:type="dxa"/>
            <w:noWrap w:val="0"/>
            <w:vAlign w:val="center"/>
          </w:tcPr>
          <w:p>
            <w:pPr>
              <w:widowControl/>
              <w:spacing w:line="320" w:lineRule="exact"/>
              <w:jc w:val="center"/>
              <w:rPr>
                <w:rFonts w:eastAsia="仿宋_GB2312" w:cs="Times New Roman"/>
                <w:kern w:val="0"/>
                <w:sz w:val="24"/>
                <w:szCs w:val="24"/>
              </w:rPr>
            </w:pPr>
            <w:r>
              <w:rPr>
                <w:rFonts w:hint="eastAsia" w:eastAsia="仿宋_GB2312" w:cs="Times New Roman"/>
                <w:kern w:val="0"/>
                <w:sz w:val="24"/>
                <w:szCs w:val="24"/>
                <w:lang w:val="en-US" w:eastAsia="zh-CN"/>
              </w:rPr>
              <w:t>2</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eastAsia="仿宋_GB2312" w:cs="Times New Roman"/>
                <w:kern w:val="0"/>
                <w:sz w:val="24"/>
                <w:szCs w:val="24"/>
              </w:rPr>
              <w:t>反映</w:t>
            </w:r>
            <w:r>
              <w:rPr>
                <w:rFonts w:hint="eastAsia" w:eastAsia="仿宋_GB2312" w:cs="Times New Roman"/>
                <w:kern w:val="0"/>
                <w:sz w:val="24"/>
                <w:szCs w:val="24"/>
                <w:lang w:eastAsia="zh-CN"/>
              </w:rPr>
              <w:t>2023</w:t>
            </w:r>
            <w:r>
              <w:rPr>
                <w:rFonts w:hint="eastAsia" w:eastAsia="仿宋_GB2312" w:cs="Times New Roman"/>
                <w:kern w:val="0"/>
                <w:sz w:val="24"/>
                <w:szCs w:val="24"/>
              </w:rPr>
              <w:t>年</w:t>
            </w:r>
            <w:r>
              <w:rPr>
                <w:rFonts w:hint="eastAsia" w:eastAsia="仿宋_GB2312" w:cs="Times New Roman"/>
                <w:kern w:val="0"/>
                <w:sz w:val="24"/>
                <w:szCs w:val="24"/>
                <w:lang w:eastAsia="zh-CN"/>
              </w:rPr>
              <w:t>曲江区</w:t>
            </w:r>
            <w:r>
              <w:rPr>
                <w:rFonts w:hint="eastAsia" w:eastAsia="仿宋_GB2312" w:cs="Times New Roman"/>
                <w:kern w:val="0"/>
                <w:sz w:val="24"/>
                <w:szCs w:val="24"/>
              </w:rPr>
              <w:t>病险水库除险加固</w:t>
            </w:r>
            <w:r>
              <w:rPr>
                <w:rFonts w:hint="eastAsia" w:eastAsia="仿宋_GB2312" w:cs="Times New Roman"/>
                <w:kern w:val="0"/>
                <w:sz w:val="24"/>
                <w:szCs w:val="24"/>
                <w:lang w:val="en-US" w:eastAsia="zh-CN"/>
              </w:rPr>
              <w:t>任务</w:t>
            </w:r>
            <w:r>
              <w:rPr>
                <w:rFonts w:hint="eastAsia" w:eastAsia="仿宋_GB2312" w:cs="Times New Roman"/>
                <w:kern w:val="0"/>
                <w:sz w:val="24"/>
                <w:szCs w:val="24"/>
              </w:rPr>
              <w:t>完成情况</w:t>
            </w:r>
            <w:r>
              <w:rPr>
                <w:rFonts w:hint="eastAsia" w:eastAsia="仿宋_GB2312" w:cs="Times New Roman"/>
                <w:kern w:val="0"/>
                <w:sz w:val="24"/>
                <w:szCs w:val="24"/>
                <w:lang w:eastAsia="zh-CN"/>
              </w:rPr>
              <w:t>。</w:t>
            </w:r>
          </w:p>
        </w:tc>
        <w:tc>
          <w:tcPr>
            <w:tcW w:w="4725" w:type="dxa"/>
            <w:noWrap w:val="0"/>
            <w:vAlign w:val="center"/>
          </w:tcPr>
          <w:p>
            <w:pPr>
              <w:widowControl/>
              <w:numPr>
                <w:ilvl w:val="0"/>
                <w:numId w:val="7"/>
              </w:numPr>
              <w:spacing w:line="320" w:lineRule="exact"/>
              <w:jc w:val="left"/>
              <w:rPr>
                <w:rFonts w:hint="default" w:eastAsia="仿宋_GB2312" w:cs="Times New Roman"/>
                <w:kern w:val="0"/>
                <w:sz w:val="24"/>
                <w:szCs w:val="24"/>
                <w:lang w:val="en-US"/>
              </w:rPr>
            </w:pPr>
            <w:r>
              <w:rPr>
                <w:rFonts w:hint="default" w:eastAsia="仿宋_GB2312" w:cs="Times New Roman"/>
                <w:kern w:val="0"/>
                <w:sz w:val="24"/>
                <w:szCs w:val="24"/>
                <w:lang w:val="en-US"/>
              </w:rPr>
              <w:t>新增完成现有大中型病险水库除险加固</w:t>
            </w:r>
            <w:r>
              <w:rPr>
                <w:rFonts w:hint="eastAsia" w:eastAsia="仿宋_GB2312" w:cs="Times New Roman"/>
                <w:kern w:val="0"/>
                <w:sz w:val="24"/>
                <w:szCs w:val="24"/>
                <w:lang w:val="en-US" w:eastAsia="zh-CN"/>
              </w:rPr>
              <w:t>1座，</w:t>
            </w:r>
            <w:r>
              <w:rPr>
                <w:rFonts w:hint="eastAsia" w:eastAsia="仿宋_GB2312" w:cs="Times New Roman"/>
                <w:sz w:val="24"/>
                <w:szCs w:val="20"/>
              </w:rPr>
              <w:t>得</w:t>
            </w:r>
            <w:r>
              <w:rPr>
                <w:rFonts w:hint="eastAsia" w:eastAsia="仿宋_GB2312" w:cs="Times New Roman"/>
                <w:sz w:val="24"/>
                <w:szCs w:val="20"/>
                <w:lang w:val="en-US" w:eastAsia="zh-CN"/>
              </w:rPr>
              <w:t>1</w:t>
            </w:r>
            <w:r>
              <w:rPr>
                <w:rFonts w:hint="eastAsia" w:eastAsia="仿宋_GB2312" w:cs="Times New Roman"/>
                <w:sz w:val="24"/>
                <w:szCs w:val="20"/>
              </w:rPr>
              <w:t>分</w:t>
            </w:r>
            <w:r>
              <w:rPr>
                <w:rFonts w:hint="eastAsia" w:eastAsia="仿宋_GB2312" w:cs="Times New Roman"/>
                <w:sz w:val="24"/>
                <w:szCs w:val="20"/>
                <w:lang w:eastAsia="zh-CN"/>
              </w:rPr>
              <w:t>；</w:t>
            </w:r>
            <w:r>
              <w:rPr>
                <w:rFonts w:hint="eastAsia" w:eastAsia="仿宋_GB2312" w:cs="Times New Roman"/>
                <w:sz w:val="24"/>
                <w:szCs w:val="20"/>
              </w:rPr>
              <w:t>否则按完成的比例得分。</w:t>
            </w:r>
          </w:p>
          <w:p>
            <w:pPr>
              <w:widowControl/>
              <w:numPr>
                <w:ilvl w:val="0"/>
                <w:numId w:val="7"/>
              </w:numPr>
              <w:spacing w:line="320" w:lineRule="exact"/>
              <w:jc w:val="left"/>
              <w:rPr>
                <w:rFonts w:hint="default" w:eastAsia="仿宋_GB2312" w:cs="Times New Roman"/>
                <w:kern w:val="0"/>
                <w:sz w:val="24"/>
                <w:szCs w:val="24"/>
                <w:lang w:val="en-US"/>
              </w:rPr>
            </w:pPr>
            <w:r>
              <w:rPr>
                <w:rFonts w:hint="default" w:eastAsia="仿宋_GB2312" w:cs="Times New Roman"/>
                <w:kern w:val="0"/>
                <w:sz w:val="24"/>
                <w:szCs w:val="24"/>
                <w:lang w:val="en-US"/>
              </w:rPr>
              <w:t>新增完成现有小型病险水库除险加固</w:t>
            </w:r>
            <w:r>
              <w:rPr>
                <w:rFonts w:hint="eastAsia" w:eastAsia="仿宋_GB2312" w:cs="Times New Roman"/>
                <w:kern w:val="0"/>
                <w:sz w:val="24"/>
                <w:szCs w:val="24"/>
                <w:lang w:val="en-US" w:eastAsia="zh-CN"/>
              </w:rPr>
              <w:t>1座，</w:t>
            </w:r>
            <w:r>
              <w:rPr>
                <w:rFonts w:hint="eastAsia" w:eastAsia="仿宋_GB2312" w:cs="Times New Roman"/>
                <w:sz w:val="24"/>
                <w:szCs w:val="20"/>
              </w:rPr>
              <w:t>得</w:t>
            </w:r>
            <w:r>
              <w:rPr>
                <w:rFonts w:hint="eastAsia" w:eastAsia="仿宋_GB2312" w:cs="Times New Roman"/>
                <w:sz w:val="24"/>
                <w:szCs w:val="20"/>
                <w:lang w:val="en-US" w:eastAsia="zh-CN"/>
              </w:rPr>
              <w:t>1</w:t>
            </w:r>
            <w:r>
              <w:rPr>
                <w:rFonts w:hint="eastAsia" w:eastAsia="仿宋_GB2312" w:cs="Times New Roman"/>
                <w:sz w:val="24"/>
                <w:szCs w:val="20"/>
              </w:rPr>
              <w:t>分</w:t>
            </w:r>
            <w:r>
              <w:rPr>
                <w:rFonts w:hint="eastAsia" w:eastAsia="仿宋_GB2312" w:cs="Times New Roman"/>
                <w:sz w:val="24"/>
                <w:szCs w:val="20"/>
                <w:lang w:eastAsia="zh-CN"/>
              </w:rPr>
              <w:t>；</w:t>
            </w:r>
            <w:r>
              <w:rPr>
                <w:rFonts w:hint="eastAsia" w:eastAsia="仿宋_GB2312" w:cs="Times New Roman"/>
                <w:sz w:val="24"/>
                <w:szCs w:val="20"/>
              </w:rPr>
              <w:t>否则按完成的比例得分。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rPr>
                <w:rFonts w:eastAsia="仿宋_GB2312" w:cs="Times New Roman"/>
                <w:kern w:val="0"/>
                <w:sz w:val="24"/>
                <w:szCs w:val="24"/>
              </w:rPr>
            </w:pPr>
          </w:p>
        </w:tc>
        <w:tc>
          <w:tcPr>
            <w:tcW w:w="615" w:type="dxa"/>
            <w:vMerge w:val="continue"/>
            <w:noWrap w:val="0"/>
            <w:vAlign w:val="center"/>
          </w:tcPr>
          <w:p>
            <w:pPr>
              <w:widowControl/>
              <w:spacing w:line="320" w:lineRule="exact"/>
              <w:jc w:val="center"/>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center"/>
              <w:rPr>
                <w:rFonts w:eastAsia="仿宋_GB2312" w:cs="Times New Roman"/>
                <w:kern w:val="0"/>
                <w:sz w:val="24"/>
                <w:szCs w:val="24"/>
              </w:rPr>
            </w:pPr>
          </w:p>
        </w:tc>
        <w:tc>
          <w:tcPr>
            <w:tcW w:w="1320" w:type="dxa"/>
            <w:noWrap w:val="0"/>
            <w:vAlign w:val="center"/>
          </w:tcPr>
          <w:p>
            <w:pPr>
              <w:widowControl/>
              <w:spacing w:line="320" w:lineRule="exact"/>
              <w:jc w:val="center"/>
              <w:rPr>
                <w:rFonts w:hint="eastAsia" w:eastAsia="仿宋_GB2312" w:cs="Times New Roman"/>
                <w:kern w:val="0"/>
                <w:sz w:val="24"/>
                <w:szCs w:val="24"/>
                <w:lang w:val="en-US" w:eastAsia="zh-CN"/>
              </w:rPr>
            </w:pPr>
            <w:r>
              <w:rPr>
                <w:rFonts w:hint="eastAsia" w:eastAsia="仿宋_GB2312" w:cs="Times New Roman"/>
                <w:kern w:val="0"/>
                <w:sz w:val="24"/>
                <w:szCs w:val="24"/>
              </w:rPr>
              <w:t>水土流失</w:t>
            </w:r>
            <w:r>
              <w:rPr>
                <w:rFonts w:hint="eastAsia" w:eastAsia="仿宋_GB2312" w:cs="Times New Roman"/>
                <w:kern w:val="0"/>
                <w:sz w:val="24"/>
                <w:szCs w:val="24"/>
                <w:lang w:val="en-US" w:eastAsia="zh-CN"/>
              </w:rPr>
              <w:t>治理</w:t>
            </w:r>
          </w:p>
        </w:tc>
        <w:tc>
          <w:tcPr>
            <w:tcW w:w="611"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1</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eastAsia="仿宋_GB2312" w:cs="Times New Roman"/>
                <w:kern w:val="0"/>
                <w:sz w:val="24"/>
                <w:szCs w:val="24"/>
              </w:rPr>
              <w:t>反映</w:t>
            </w:r>
            <w:r>
              <w:rPr>
                <w:rFonts w:hint="eastAsia" w:eastAsia="仿宋_GB2312" w:cs="Times New Roman"/>
                <w:kern w:val="0"/>
                <w:sz w:val="24"/>
                <w:szCs w:val="24"/>
                <w:lang w:eastAsia="zh-CN"/>
              </w:rPr>
              <w:t>2023</w:t>
            </w:r>
            <w:r>
              <w:rPr>
                <w:rFonts w:hint="eastAsia" w:eastAsia="仿宋_GB2312" w:cs="Times New Roman"/>
                <w:kern w:val="0"/>
                <w:sz w:val="24"/>
                <w:szCs w:val="24"/>
              </w:rPr>
              <w:t>年</w:t>
            </w:r>
            <w:r>
              <w:rPr>
                <w:rFonts w:hint="eastAsia" w:eastAsia="仿宋_GB2312" w:cs="Times New Roman"/>
                <w:kern w:val="0"/>
                <w:sz w:val="24"/>
                <w:szCs w:val="24"/>
                <w:lang w:eastAsia="zh-CN"/>
              </w:rPr>
              <w:t>曲江区</w:t>
            </w:r>
            <w:r>
              <w:rPr>
                <w:rFonts w:hint="eastAsia" w:eastAsia="仿宋_GB2312" w:cs="Times New Roman"/>
                <w:kern w:val="0"/>
                <w:sz w:val="24"/>
                <w:szCs w:val="24"/>
              </w:rPr>
              <w:t>水土流失</w:t>
            </w:r>
            <w:r>
              <w:rPr>
                <w:rFonts w:hint="eastAsia" w:eastAsia="仿宋_GB2312" w:cs="Times New Roman"/>
                <w:kern w:val="0"/>
                <w:sz w:val="24"/>
                <w:szCs w:val="24"/>
                <w:lang w:val="en-US" w:eastAsia="zh-CN"/>
              </w:rPr>
              <w:t>治理任务</w:t>
            </w:r>
            <w:r>
              <w:rPr>
                <w:rFonts w:hint="eastAsia" w:eastAsia="仿宋_GB2312" w:cs="Times New Roman"/>
                <w:kern w:val="0"/>
                <w:sz w:val="24"/>
                <w:szCs w:val="24"/>
              </w:rPr>
              <w:t>完成情况</w:t>
            </w:r>
            <w:r>
              <w:rPr>
                <w:rFonts w:hint="eastAsia" w:eastAsia="仿宋_GB2312" w:cs="Times New Roman"/>
                <w:kern w:val="0"/>
                <w:sz w:val="24"/>
                <w:szCs w:val="24"/>
                <w:lang w:eastAsia="zh-CN"/>
              </w:rPr>
              <w:t>。</w:t>
            </w:r>
          </w:p>
        </w:tc>
        <w:tc>
          <w:tcPr>
            <w:tcW w:w="4725" w:type="dxa"/>
            <w:noWrap w:val="0"/>
            <w:vAlign w:val="center"/>
          </w:tcPr>
          <w:p>
            <w:pPr>
              <w:widowControl/>
              <w:spacing w:line="320" w:lineRule="exact"/>
              <w:jc w:val="left"/>
              <w:rPr>
                <w:rFonts w:hint="default" w:eastAsia="仿宋_GB2312" w:cs="Times New Roman"/>
                <w:kern w:val="0"/>
                <w:sz w:val="24"/>
                <w:szCs w:val="24"/>
                <w:lang w:val="en-US" w:eastAsia="zh-CN"/>
              </w:rPr>
            </w:pPr>
            <w:r>
              <w:rPr>
                <w:rFonts w:hint="default" w:eastAsia="仿宋_GB2312" w:cs="Times New Roman"/>
                <w:kern w:val="0"/>
                <w:sz w:val="24"/>
                <w:szCs w:val="24"/>
                <w:lang w:val="en-US" w:eastAsia="zh-CN"/>
              </w:rPr>
              <w:t>新增</w:t>
            </w:r>
            <w:r>
              <w:rPr>
                <w:rFonts w:hint="eastAsia" w:eastAsia="仿宋_GB2312" w:cs="Times New Roman"/>
                <w:kern w:val="0"/>
                <w:sz w:val="24"/>
                <w:szCs w:val="24"/>
              </w:rPr>
              <w:t>治理水土流失面积</w:t>
            </w:r>
            <w:r>
              <w:rPr>
                <w:rFonts w:hint="eastAsia" w:eastAsia="仿宋_GB2312" w:cs="Times New Roman"/>
                <w:kern w:val="0"/>
                <w:sz w:val="24"/>
                <w:szCs w:val="24"/>
                <w:lang w:val="en-US" w:eastAsia="zh-CN"/>
              </w:rPr>
              <w:t>0.27平方公里，得满分；</w:t>
            </w:r>
            <w:r>
              <w:rPr>
                <w:rFonts w:hint="eastAsia" w:eastAsia="仿宋_GB2312" w:cs="Times New Roman"/>
                <w:kern w:val="0"/>
                <w:sz w:val="24"/>
                <w:szCs w:val="24"/>
              </w:rPr>
              <w:t>否则按完成的比例得分。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rPr>
                <w:rFonts w:eastAsia="仿宋_GB2312" w:cs="Times New Roman"/>
                <w:kern w:val="0"/>
                <w:sz w:val="24"/>
                <w:szCs w:val="24"/>
              </w:rPr>
            </w:pPr>
          </w:p>
        </w:tc>
        <w:tc>
          <w:tcPr>
            <w:tcW w:w="615" w:type="dxa"/>
            <w:vMerge w:val="continue"/>
            <w:noWrap w:val="0"/>
            <w:vAlign w:val="center"/>
          </w:tcPr>
          <w:p>
            <w:pPr>
              <w:widowControl/>
              <w:spacing w:line="320" w:lineRule="exact"/>
              <w:jc w:val="center"/>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center"/>
              <w:rPr>
                <w:rFonts w:eastAsia="仿宋_GB2312" w:cs="Times New Roman"/>
                <w:kern w:val="0"/>
                <w:sz w:val="24"/>
                <w:szCs w:val="24"/>
              </w:rPr>
            </w:pPr>
          </w:p>
        </w:tc>
        <w:tc>
          <w:tcPr>
            <w:tcW w:w="1320" w:type="dxa"/>
            <w:noWrap w:val="0"/>
            <w:vAlign w:val="center"/>
          </w:tcPr>
          <w:p>
            <w:pPr>
              <w:widowControl/>
              <w:spacing w:line="320" w:lineRule="exact"/>
              <w:jc w:val="center"/>
              <w:rPr>
                <w:rFonts w:hint="eastAsia" w:eastAsia="仿宋_GB2312" w:cs="Times New Roman"/>
                <w:kern w:val="0"/>
                <w:sz w:val="24"/>
                <w:szCs w:val="24"/>
              </w:rPr>
            </w:pPr>
            <w:r>
              <w:rPr>
                <w:rFonts w:hint="eastAsia" w:eastAsia="仿宋_GB2312" w:cs="Times New Roman"/>
                <w:kern w:val="0"/>
                <w:sz w:val="24"/>
                <w:szCs w:val="24"/>
              </w:rPr>
              <w:t>农业水价综合改革及大中型灌区节水改造</w:t>
            </w:r>
          </w:p>
        </w:tc>
        <w:tc>
          <w:tcPr>
            <w:tcW w:w="611"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eastAsia="仿宋_GB2312" w:cs="Times New Roman"/>
                <w:kern w:val="0"/>
                <w:sz w:val="24"/>
                <w:szCs w:val="24"/>
              </w:rPr>
              <w:t>反映</w:t>
            </w:r>
            <w:r>
              <w:rPr>
                <w:rFonts w:hint="eastAsia" w:eastAsia="仿宋_GB2312" w:cs="Times New Roman"/>
                <w:kern w:val="0"/>
                <w:sz w:val="24"/>
                <w:szCs w:val="24"/>
                <w:lang w:eastAsia="zh-CN"/>
              </w:rPr>
              <w:t>2023</w:t>
            </w:r>
            <w:r>
              <w:rPr>
                <w:rFonts w:hint="eastAsia" w:eastAsia="仿宋_GB2312" w:cs="Times New Roman"/>
                <w:kern w:val="0"/>
                <w:sz w:val="24"/>
                <w:szCs w:val="24"/>
              </w:rPr>
              <w:t>年</w:t>
            </w:r>
            <w:r>
              <w:rPr>
                <w:rFonts w:hint="eastAsia" w:eastAsia="仿宋_GB2312" w:cs="Times New Roman"/>
                <w:kern w:val="0"/>
                <w:sz w:val="24"/>
                <w:szCs w:val="24"/>
                <w:lang w:eastAsia="zh-CN"/>
              </w:rPr>
              <w:t>曲江区</w:t>
            </w:r>
            <w:r>
              <w:rPr>
                <w:rFonts w:hint="eastAsia" w:eastAsia="仿宋_GB2312" w:cs="Times New Roman"/>
                <w:kern w:val="0"/>
                <w:sz w:val="24"/>
                <w:szCs w:val="24"/>
              </w:rPr>
              <w:t>农业水价综合改革及大中型灌区节水改造</w:t>
            </w:r>
            <w:r>
              <w:rPr>
                <w:rFonts w:hint="eastAsia" w:eastAsia="仿宋_GB2312" w:cs="Times New Roman"/>
                <w:kern w:val="0"/>
                <w:sz w:val="24"/>
                <w:szCs w:val="24"/>
                <w:lang w:val="en-US" w:eastAsia="zh-CN"/>
              </w:rPr>
              <w:t>任务</w:t>
            </w:r>
            <w:r>
              <w:rPr>
                <w:rFonts w:hint="eastAsia" w:eastAsia="仿宋_GB2312" w:cs="Times New Roman"/>
                <w:kern w:val="0"/>
                <w:sz w:val="24"/>
                <w:szCs w:val="24"/>
              </w:rPr>
              <w:t>完成情况</w:t>
            </w:r>
            <w:r>
              <w:rPr>
                <w:rFonts w:hint="eastAsia" w:eastAsia="仿宋_GB2312" w:cs="Times New Roman"/>
                <w:kern w:val="0"/>
                <w:sz w:val="24"/>
                <w:szCs w:val="24"/>
                <w:lang w:eastAsia="zh-CN"/>
              </w:rPr>
              <w:t>。</w:t>
            </w:r>
          </w:p>
        </w:tc>
        <w:tc>
          <w:tcPr>
            <w:tcW w:w="4725" w:type="dxa"/>
            <w:noWrap w:val="0"/>
            <w:vAlign w:val="center"/>
          </w:tcPr>
          <w:p>
            <w:pPr>
              <w:widowControl/>
              <w:numPr>
                <w:ilvl w:val="0"/>
                <w:numId w:val="8"/>
              </w:numPr>
              <w:spacing w:line="320" w:lineRule="exact"/>
              <w:jc w:val="left"/>
              <w:rPr>
                <w:rFonts w:hint="default" w:eastAsia="仿宋_GB2312" w:cs="Times New Roman"/>
                <w:kern w:val="0"/>
                <w:sz w:val="24"/>
                <w:szCs w:val="24"/>
                <w:lang w:val="en-US" w:eastAsia="zh-CN"/>
              </w:rPr>
            </w:pPr>
            <w:r>
              <w:rPr>
                <w:rFonts w:hint="default" w:eastAsia="仿宋_GB2312" w:cs="Times New Roman"/>
                <w:kern w:val="0"/>
                <w:sz w:val="24"/>
                <w:szCs w:val="24"/>
                <w:lang w:val="en-US" w:eastAsia="zh-CN"/>
              </w:rPr>
              <w:t>新增农业水价综合改革实施面积</w:t>
            </w:r>
            <w:r>
              <w:rPr>
                <w:rFonts w:hint="eastAsia" w:eastAsia="仿宋_GB2312" w:cs="Times New Roman"/>
                <w:kern w:val="0"/>
                <w:sz w:val="24"/>
                <w:szCs w:val="24"/>
                <w:lang w:val="en-US" w:eastAsia="zh-CN"/>
              </w:rPr>
              <w:t>0.81万亩，</w:t>
            </w:r>
            <w:r>
              <w:rPr>
                <w:rFonts w:hint="eastAsia" w:eastAsia="仿宋_GB2312" w:cs="Times New Roman"/>
                <w:sz w:val="24"/>
                <w:szCs w:val="20"/>
              </w:rPr>
              <w:t>得</w:t>
            </w:r>
            <w:r>
              <w:rPr>
                <w:rFonts w:hint="eastAsia" w:eastAsia="仿宋_GB2312" w:cs="Times New Roman"/>
                <w:sz w:val="24"/>
                <w:szCs w:val="20"/>
                <w:lang w:val="en-US" w:eastAsia="zh-CN"/>
              </w:rPr>
              <w:t>1</w:t>
            </w:r>
            <w:r>
              <w:rPr>
                <w:rFonts w:hint="eastAsia" w:eastAsia="仿宋_GB2312" w:cs="Times New Roman"/>
                <w:sz w:val="24"/>
                <w:szCs w:val="20"/>
              </w:rPr>
              <w:t>分</w:t>
            </w:r>
            <w:r>
              <w:rPr>
                <w:rFonts w:hint="eastAsia" w:eastAsia="仿宋_GB2312" w:cs="Times New Roman"/>
                <w:sz w:val="24"/>
                <w:szCs w:val="20"/>
                <w:lang w:eastAsia="zh-CN"/>
              </w:rPr>
              <w:t>；</w:t>
            </w:r>
            <w:r>
              <w:rPr>
                <w:rFonts w:hint="eastAsia" w:eastAsia="仿宋_GB2312" w:cs="Times New Roman"/>
                <w:sz w:val="24"/>
                <w:szCs w:val="20"/>
              </w:rPr>
              <w:t>否则按完成的比例得分。</w:t>
            </w:r>
          </w:p>
          <w:p>
            <w:pPr>
              <w:widowControl/>
              <w:numPr>
                <w:ilvl w:val="0"/>
                <w:numId w:val="8"/>
              </w:numPr>
              <w:spacing w:line="320" w:lineRule="exact"/>
              <w:jc w:val="left"/>
              <w:rPr>
                <w:rFonts w:hint="default" w:eastAsia="仿宋_GB2312" w:cs="Times New Roman"/>
                <w:kern w:val="0"/>
                <w:sz w:val="24"/>
                <w:szCs w:val="24"/>
                <w:lang w:val="en-US" w:eastAsia="zh-CN"/>
              </w:rPr>
            </w:pPr>
            <w:r>
              <w:rPr>
                <w:rFonts w:hint="default" w:eastAsia="仿宋_GB2312" w:cs="Times New Roman"/>
                <w:kern w:val="0"/>
                <w:sz w:val="24"/>
                <w:szCs w:val="24"/>
                <w:lang w:val="en-US" w:eastAsia="zh-CN"/>
              </w:rPr>
              <w:t>完成年度投资计划的重点中型灌区节水配套项目</w:t>
            </w:r>
            <w:r>
              <w:rPr>
                <w:rFonts w:hint="eastAsia" w:eastAsia="仿宋_GB2312" w:cs="Times New Roman"/>
                <w:kern w:val="0"/>
                <w:sz w:val="24"/>
                <w:szCs w:val="24"/>
                <w:lang w:val="en-US" w:eastAsia="zh-CN"/>
              </w:rPr>
              <w:t>1宗，</w:t>
            </w:r>
            <w:r>
              <w:rPr>
                <w:rFonts w:hint="eastAsia" w:eastAsia="仿宋_GB2312" w:cs="Times New Roman"/>
                <w:sz w:val="24"/>
                <w:szCs w:val="20"/>
              </w:rPr>
              <w:t>得</w:t>
            </w:r>
            <w:r>
              <w:rPr>
                <w:rFonts w:hint="eastAsia" w:eastAsia="仿宋_GB2312" w:cs="Times New Roman"/>
                <w:sz w:val="24"/>
                <w:szCs w:val="20"/>
                <w:lang w:val="en-US" w:eastAsia="zh-CN"/>
              </w:rPr>
              <w:t>1</w:t>
            </w:r>
            <w:r>
              <w:rPr>
                <w:rFonts w:hint="eastAsia" w:eastAsia="仿宋_GB2312" w:cs="Times New Roman"/>
                <w:sz w:val="24"/>
                <w:szCs w:val="20"/>
              </w:rPr>
              <w:t>分</w:t>
            </w:r>
            <w:r>
              <w:rPr>
                <w:rFonts w:hint="eastAsia" w:eastAsia="仿宋_GB2312" w:cs="Times New Roman"/>
                <w:sz w:val="24"/>
                <w:szCs w:val="20"/>
                <w:lang w:eastAsia="zh-CN"/>
              </w:rPr>
              <w:t>；</w:t>
            </w:r>
            <w:r>
              <w:rPr>
                <w:rFonts w:hint="eastAsia" w:eastAsia="仿宋_GB2312" w:cs="Times New Roman"/>
                <w:sz w:val="24"/>
                <w:szCs w:val="20"/>
              </w:rPr>
              <w:t>否则按完成的比例得分。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rPr>
                <w:rFonts w:eastAsia="仿宋_GB2312" w:cs="Times New Roman"/>
                <w:kern w:val="0"/>
                <w:sz w:val="24"/>
                <w:szCs w:val="24"/>
              </w:rPr>
            </w:pPr>
          </w:p>
        </w:tc>
        <w:tc>
          <w:tcPr>
            <w:tcW w:w="615" w:type="dxa"/>
            <w:vMerge w:val="continue"/>
            <w:noWrap w:val="0"/>
            <w:vAlign w:val="center"/>
          </w:tcPr>
          <w:p>
            <w:pPr>
              <w:widowControl/>
              <w:spacing w:line="320" w:lineRule="exact"/>
              <w:jc w:val="center"/>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center"/>
              <w:rPr>
                <w:rFonts w:eastAsia="仿宋_GB2312" w:cs="Times New Roman"/>
                <w:kern w:val="0"/>
                <w:sz w:val="24"/>
                <w:szCs w:val="24"/>
              </w:rPr>
            </w:pPr>
          </w:p>
        </w:tc>
        <w:tc>
          <w:tcPr>
            <w:tcW w:w="1320" w:type="dxa"/>
            <w:noWrap w:val="0"/>
            <w:vAlign w:val="center"/>
          </w:tcPr>
          <w:p>
            <w:pPr>
              <w:widowControl/>
              <w:spacing w:line="320" w:lineRule="exact"/>
              <w:jc w:val="center"/>
              <w:rPr>
                <w:rFonts w:eastAsia="仿宋_GB2312" w:cs="Times New Roman"/>
                <w:kern w:val="0"/>
                <w:sz w:val="24"/>
                <w:szCs w:val="24"/>
              </w:rPr>
            </w:pPr>
            <w:r>
              <w:rPr>
                <w:rFonts w:hint="eastAsia" w:eastAsia="仿宋_GB2312" w:cs="Times New Roman"/>
                <w:kern w:val="0"/>
                <w:sz w:val="24"/>
                <w:szCs w:val="24"/>
              </w:rPr>
              <w:t>造林及抚育</w:t>
            </w:r>
          </w:p>
        </w:tc>
        <w:tc>
          <w:tcPr>
            <w:tcW w:w="611" w:type="dxa"/>
            <w:noWrap w:val="0"/>
            <w:vAlign w:val="center"/>
          </w:tcPr>
          <w:p>
            <w:pPr>
              <w:widowControl/>
              <w:spacing w:line="320" w:lineRule="exact"/>
              <w:jc w:val="center"/>
              <w:rPr>
                <w:rFonts w:hint="eastAsia" w:eastAsia="仿宋_GB2312" w:cs="Times New Roman"/>
                <w:kern w:val="0"/>
                <w:sz w:val="24"/>
                <w:szCs w:val="24"/>
                <w:lang w:eastAsia="zh-CN"/>
              </w:rPr>
            </w:pPr>
            <w:r>
              <w:rPr>
                <w:rFonts w:hint="eastAsia" w:eastAsia="仿宋_GB2312" w:cs="Times New Roman"/>
                <w:kern w:val="0"/>
                <w:sz w:val="24"/>
                <w:szCs w:val="24"/>
                <w:lang w:val="en-US" w:eastAsia="zh-CN"/>
              </w:rPr>
              <w:t>3</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eastAsia="仿宋_GB2312" w:cs="Times New Roman"/>
                <w:kern w:val="0"/>
                <w:sz w:val="24"/>
                <w:szCs w:val="24"/>
              </w:rPr>
              <w:t>反映</w:t>
            </w:r>
            <w:r>
              <w:rPr>
                <w:rFonts w:hint="eastAsia" w:eastAsia="仿宋_GB2312" w:cs="Times New Roman"/>
                <w:kern w:val="0"/>
                <w:sz w:val="24"/>
                <w:szCs w:val="24"/>
                <w:lang w:eastAsia="zh-CN"/>
              </w:rPr>
              <w:t>2023</w:t>
            </w:r>
            <w:r>
              <w:rPr>
                <w:rFonts w:hint="eastAsia" w:eastAsia="仿宋_GB2312" w:cs="Times New Roman"/>
                <w:kern w:val="0"/>
                <w:sz w:val="24"/>
                <w:szCs w:val="24"/>
              </w:rPr>
              <w:t>年</w:t>
            </w:r>
            <w:r>
              <w:rPr>
                <w:rFonts w:hint="eastAsia" w:eastAsia="仿宋_GB2312" w:cs="Times New Roman"/>
                <w:kern w:val="0"/>
                <w:sz w:val="24"/>
                <w:szCs w:val="24"/>
                <w:lang w:eastAsia="zh-CN"/>
              </w:rPr>
              <w:t>曲江区</w:t>
            </w:r>
            <w:r>
              <w:rPr>
                <w:rFonts w:hint="eastAsia" w:eastAsia="仿宋_GB2312" w:cs="Times New Roman"/>
                <w:kern w:val="0"/>
                <w:sz w:val="24"/>
                <w:szCs w:val="24"/>
              </w:rPr>
              <w:t>造林及抚育</w:t>
            </w:r>
            <w:r>
              <w:rPr>
                <w:rFonts w:hint="eastAsia" w:eastAsia="仿宋_GB2312" w:cs="Times New Roman"/>
                <w:kern w:val="0"/>
                <w:sz w:val="24"/>
                <w:szCs w:val="24"/>
                <w:lang w:val="en-US" w:eastAsia="zh-CN"/>
              </w:rPr>
              <w:t>任务</w:t>
            </w:r>
            <w:r>
              <w:rPr>
                <w:rFonts w:hint="eastAsia" w:eastAsia="仿宋_GB2312" w:cs="Times New Roman"/>
                <w:kern w:val="0"/>
                <w:sz w:val="24"/>
                <w:szCs w:val="24"/>
              </w:rPr>
              <w:t>完成情况</w:t>
            </w:r>
            <w:r>
              <w:rPr>
                <w:rFonts w:hint="eastAsia" w:eastAsia="仿宋_GB2312" w:cs="Times New Roman"/>
                <w:kern w:val="0"/>
                <w:sz w:val="24"/>
                <w:szCs w:val="24"/>
                <w:lang w:eastAsia="zh-CN"/>
              </w:rPr>
              <w:t>。</w:t>
            </w:r>
          </w:p>
        </w:tc>
        <w:tc>
          <w:tcPr>
            <w:tcW w:w="4725" w:type="dxa"/>
            <w:noWrap w:val="0"/>
            <w:vAlign w:val="center"/>
          </w:tcPr>
          <w:p>
            <w:pPr>
              <w:widowControl/>
              <w:numPr>
                <w:ilvl w:val="0"/>
                <w:numId w:val="9"/>
              </w:numPr>
              <w:spacing w:line="320" w:lineRule="exact"/>
              <w:jc w:val="left"/>
              <w:rPr>
                <w:rFonts w:eastAsia="仿宋_GB2312" w:cs="Times New Roman"/>
                <w:kern w:val="0"/>
                <w:sz w:val="24"/>
                <w:szCs w:val="24"/>
              </w:rPr>
            </w:pPr>
            <w:r>
              <w:rPr>
                <w:rFonts w:hint="eastAsia" w:eastAsia="仿宋_GB2312" w:cs="Times New Roman"/>
                <w:kern w:val="0"/>
                <w:sz w:val="24"/>
                <w:szCs w:val="24"/>
              </w:rPr>
              <w:t>完成</w:t>
            </w:r>
            <w:r>
              <w:rPr>
                <w:rFonts w:hint="eastAsia" w:eastAsia="仿宋_GB2312" w:cs="Times New Roman"/>
                <w:kern w:val="0"/>
                <w:sz w:val="24"/>
                <w:szCs w:val="24"/>
                <w:lang w:val="en-US" w:eastAsia="zh-CN"/>
              </w:rPr>
              <w:t>人工</w:t>
            </w:r>
            <w:r>
              <w:rPr>
                <w:rFonts w:hint="eastAsia" w:eastAsia="仿宋_GB2312" w:cs="Times New Roman"/>
                <w:kern w:val="0"/>
                <w:sz w:val="24"/>
                <w:szCs w:val="24"/>
              </w:rPr>
              <w:t>造林1260亩，</w:t>
            </w:r>
            <w:r>
              <w:rPr>
                <w:rFonts w:hint="eastAsia" w:eastAsia="仿宋_GB2312" w:cs="Times New Roman"/>
                <w:kern w:val="0"/>
                <w:sz w:val="24"/>
                <w:szCs w:val="24"/>
                <w:lang w:val="en-US" w:eastAsia="zh-CN"/>
              </w:rPr>
              <w:t>得1分；</w:t>
            </w:r>
            <w:r>
              <w:rPr>
                <w:rFonts w:hint="eastAsia" w:eastAsia="仿宋_GB2312" w:cs="Times New Roman"/>
                <w:kern w:val="0"/>
                <w:sz w:val="24"/>
                <w:szCs w:val="24"/>
              </w:rPr>
              <w:t>否则按完成的比例得分。</w:t>
            </w:r>
          </w:p>
          <w:p>
            <w:pPr>
              <w:widowControl/>
              <w:numPr>
                <w:ilvl w:val="0"/>
                <w:numId w:val="9"/>
              </w:numPr>
              <w:spacing w:line="320" w:lineRule="exact"/>
              <w:jc w:val="left"/>
              <w:rPr>
                <w:rFonts w:eastAsia="仿宋_GB2312" w:cs="Times New Roman"/>
                <w:kern w:val="0"/>
                <w:sz w:val="24"/>
                <w:szCs w:val="24"/>
              </w:rPr>
            </w:pPr>
            <w:r>
              <w:rPr>
                <w:rFonts w:hint="eastAsia" w:eastAsia="仿宋_GB2312" w:cs="Times New Roman"/>
                <w:kern w:val="0"/>
                <w:sz w:val="24"/>
                <w:szCs w:val="24"/>
              </w:rPr>
              <w:t>完成低质低效林分改造5710亩</w:t>
            </w:r>
            <w:r>
              <w:rPr>
                <w:rFonts w:hint="eastAsia" w:eastAsia="仿宋_GB2312" w:cs="Times New Roman"/>
                <w:kern w:val="0"/>
                <w:sz w:val="24"/>
                <w:szCs w:val="24"/>
                <w:lang w:val="en-US" w:eastAsia="zh-CN"/>
              </w:rPr>
              <w:t>（含新造油茶林600</w:t>
            </w:r>
            <w:r>
              <w:rPr>
                <w:rFonts w:hint="eastAsia" w:eastAsia="仿宋_GB2312" w:cs="Times New Roman"/>
                <w:kern w:val="0"/>
                <w:sz w:val="24"/>
                <w:szCs w:val="24"/>
              </w:rPr>
              <w:t>亩</w:t>
            </w:r>
            <w:r>
              <w:rPr>
                <w:rFonts w:hint="eastAsia" w:eastAsia="仿宋_GB2312" w:cs="Times New Roman"/>
                <w:kern w:val="0"/>
                <w:sz w:val="24"/>
                <w:szCs w:val="24"/>
                <w:lang w:val="en-US" w:eastAsia="zh-CN"/>
              </w:rPr>
              <w:t>）</w:t>
            </w:r>
            <w:r>
              <w:rPr>
                <w:rFonts w:hint="eastAsia" w:eastAsia="仿宋_GB2312" w:cs="Times New Roman"/>
                <w:kern w:val="0"/>
                <w:sz w:val="24"/>
                <w:szCs w:val="24"/>
                <w:lang w:eastAsia="zh-CN"/>
              </w:rPr>
              <w:t>，</w:t>
            </w:r>
            <w:r>
              <w:rPr>
                <w:rFonts w:hint="eastAsia" w:eastAsia="仿宋_GB2312" w:cs="Times New Roman"/>
                <w:kern w:val="0"/>
                <w:sz w:val="24"/>
                <w:szCs w:val="24"/>
                <w:lang w:val="en-US" w:eastAsia="zh-CN"/>
              </w:rPr>
              <w:t>得1分；</w:t>
            </w:r>
            <w:r>
              <w:rPr>
                <w:rFonts w:hint="eastAsia" w:eastAsia="仿宋_GB2312" w:cs="Times New Roman"/>
                <w:kern w:val="0"/>
                <w:sz w:val="24"/>
                <w:szCs w:val="24"/>
              </w:rPr>
              <w:t>否则按完成的比例得分。</w:t>
            </w:r>
          </w:p>
          <w:p>
            <w:pPr>
              <w:widowControl/>
              <w:numPr>
                <w:ilvl w:val="0"/>
                <w:numId w:val="9"/>
              </w:numPr>
              <w:spacing w:line="320" w:lineRule="exact"/>
              <w:jc w:val="left"/>
              <w:rPr>
                <w:rFonts w:eastAsia="仿宋_GB2312" w:cs="Times New Roman"/>
                <w:kern w:val="0"/>
                <w:sz w:val="24"/>
                <w:szCs w:val="24"/>
              </w:rPr>
            </w:pPr>
            <w:r>
              <w:rPr>
                <w:rFonts w:hint="eastAsia" w:eastAsia="仿宋_GB2312" w:cs="Times New Roman"/>
                <w:kern w:val="0"/>
                <w:sz w:val="24"/>
                <w:szCs w:val="24"/>
              </w:rPr>
              <w:t>完成封山育林</w:t>
            </w:r>
            <w:r>
              <w:rPr>
                <w:rFonts w:hint="eastAsia" w:eastAsia="仿宋_GB2312" w:cs="Times New Roman"/>
                <w:kern w:val="0"/>
                <w:sz w:val="24"/>
                <w:szCs w:val="24"/>
                <w:lang w:val="en-US" w:eastAsia="zh-CN"/>
              </w:rPr>
              <w:t>1000亩，森林抚育4400亩（含油茶低改及抚育300亩），</w:t>
            </w:r>
            <w:r>
              <w:rPr>
                <w:rFonts w:hint="eastAsia" w:eastAsia="仿宋_GB2312" w:cs="Times New Roman"/>
                <w:kern w:val="0"/>
                <w:sz w:val="24"/>
                <w:szCs w:val="24"/>
              </w:rPr>
              <w:t>新造林抚育2855亩</w:t>
            </w:r>
            <w:r>
              <w:rPr>
                <w:rFonts w:hint="eastAsia" w:eastAsia="仿宋_GB2312" w:cs="Times New Roman"/>
                <w:kern w:val="0"/>
                <w:sz w:val="24"/>
                <w:szCs w:val="24"/>
                <w:lang w:eastAsia="zh-CN"/>
              </w:rPr>
              <w:t>，</w:t>
            </w:r>
            <w:r>
              <w:rPr>
                <w:rFonts w:hint="eastAsia" w:eastAsia="仿宋_GB2312" w:cs="Times New Roman"/>
                <w:kern w:val="0"/>
                <w:sz w:val="24"/>
                <w:szCs w:val="24"/>
              </w:rPr>
              <w:t>得</w:t>
            </w:r>
            <w:r>
              <w:rPr>
                <w:rFonts w:hint="eastAsia" w:eastAsia="仿宋_GB2312" w:cs="Times New Roman"/>
                <w:kern w:val="0"/>
                <w:sz w:val="24"/>
                <w:szCs w:val="24"/>
                <w:lang w:val="en-US" w:eastAsia="zh-CN"/>
              </w:rPr>
              <w:t>1</w:t>
            </w:r>
            <w:r>
              <w:rPr>
                <w:rFonts w:hint="eastAsia" w:eastAsia="仿宋_GB2312" w:cs="Times New Roman"/>
                <w:kern w:val="0"/>
                <w:sz w:val="24"/>
                <w:szCs w:val="24"/>
              </w:rPr>
              <w:t>分</w:t>
            </w:r>
            <w:r>
              <w:rPr>
                <w:rFonts w:hint="eastAsia" w:eastAsia="仿宋_GB2312" w:cs="Times New Roman"/>
                <w:kern w:val="0"/>
                <w:sz w:val="24"/>
                <w:szCs w:val="24"/>
                <w:lang w:eastAsia="zh-CN"/>
              </w:rPr>
              <w:t>；</w:t>
            </w:r>
            <w:r>
              <w:rPr>
                <w:rFonts w:hint="eastAsia" w:eastAsia="仿宋_GB2312" w:cs="Times New Roman"/>
                <w:kern w:val="0"/>
                <w:sz w:val="24"/>
                <w:szCs w:val="24"/>
              </w:rPr>
              <w:t>否则按完成比例得分。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rPr>
                <w:rFonts w:eastAsia="仿宋_GB2312" w:cs="Times New Roman"/>
                <w:kern w:val="0"/>
                <w:sz w:val="24"/>
                <w:szCs w:val="24"/>
              </w:rPr>
            </w:pPr>
          </w:p>
        </w:tc>
        <w:tc>
          <w:tcPr>
            <w:tcW w:w="615" w:type="dxa"/>
            <w:vMerge w:val="continue"/>
            <w:noWrap w:val="0"/>
            <w:vAlign w:val="center"/>
          </w:tcPr>
          <w:p>
            <w:pPr>
              <w:widowControl/>
              <w:spacing w:line="320" w:lineRule="exact"/>
              <w:jc w:val="center"/>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center"/>
              <w:rPr>
                <w:rFonts w:eastAsia="仿宋_GB2312" w:cs="Times New Roman"/>
                <w:kern w:val="0"/>
                <w:sz w:val="24"/>
                <w:szCs w:val="24"/>
              </w:rPr>
            </w:pPr>
          </w:p>
        </w:tc>
        <w:tc>
          <w:tcPr>
            <w:tcW w:w="1320" w:type="dxa"/>
            <w:noWrap w:val="0"/>
            <w:vAlign w:val="center"/>
          </w:tcPr>
          <w:p>
            <w:pPr>
              <w:widowControl/>
              <w:spacing w:line="320" w:lineRule="exact"/>
              <w:jc w:val="center"/>
              <w:rPr>
                <w:rFonts w:hint="eastAsia" w:ascii="Times New Roman" w:hAnsi="Times New Roman" w:eastAsia="仿宋_GB2312" w:cs="Times New Roman"/>
                <w:color w:val="000000"/>
                <w:kern w:val="0"/>
                <w:sz w:val="24"/>
                <w:szCs w:val="24"/>
                <w:lang w:val="en-US" w:eastAsia="zh-CN" w:bidi="ar-SA"/>
              </w:rPr>
            </w:pPr>
            <w:r>
              <w:rPr>
                <w:rFonts w:hint="eastAsia" w:eastAsia="仿宋_GB2312" w:cs="Times New Roman"/>
                <w:kern w:val="0"/>
                <w:sz w:val="24"/>
                <w:szCs w:val="24"/>
              </w:rPr>
              <w:t>林业有害生物</w:t>
            </w:r>
            <w:r>
              <w:rPr>
                <w:rFonts w:hint="eastAsia" w:eastAsia="仿宋_GB2312" w:cs="Times New Roman"/>
                <w:kern w:val="0"/>
                <w:sz w:val="24"/>
                <w:szCs w:val="24"/>
                <w:lang w:val="en-US" w:eastAsia="zh-CN"/>
              </w:rPr>
              <w:t>防治</w:t>
            </w:r>
          </w:p>
        </w:tc>
        <w:tc>
          <w:tcPr>
            <w:tcW w:w="611" w:type="dxa"/>
            <w:noWrap w:val="0"/>
            <w:vAlign w:val="center"/>
          </w:tcPr>
          <w:p>
            <w:pPr>
              <w:widowControl/>
              <w:spacing w:line="320" w:lineRule="exact"/>
              <w:jc w:val="center"/>
              <w:rPr>
                <w:rFonts w:hint="eastAsia" w:ascii="Times New Roman" w:hAnsi="Times New Roman" w:eastAsia="仿宋_GB2312" w:cs="Times New Roman"/>
                <w:color w:val="000000"/>
                <w:kern w:val="0"/>
                <w:sz w:val="24"/>
                <w:szCs w:val="24"/>
                <w:lang w:val="en-US" w:eastAsia="zh-CN" w:bidi="ar-SA"/>
              </w:rPr>
            </w:pPr>
            <w:r>
              <w:rPr>
                <w:rFonts w:hint="eastAsia" w:eastAsia="仿宋_GB2312" w:cs="Times New Roman"/>
                <w:kern w:val="0"/>
                <w:sz w:val="24"/>
                <w:szCs w:val="24"/>
                <w:lang w:val="en-US" w:eastAsia="zh-CN"/>
              </w:rPr>
              <w:t>1</w:t>
            </w:r>
          </w:p>
        </w:tc>
        <w:tc>
          <w:tcPr>
            <w:tcW w:w="3184" w:type="dxa"/>
            <w:noWrap w:val="0"/>
            <w:vAlign w:val="center"/>
          </w:tcPr>
          <w:p>
            <w:pPr>
              <w:widowControl/>
              <w:spacing w:line="320" w:lineRule="exact"/>
              <w:jc w:val="left"/>
              <w:rPr>
                <w:rFonts w:hint="eastAsia" w:ascii="Times New Roman" w:hAnsi="Times New Roman" w:eastAsia="仿宋_GB2312" w:cs="Times New Roman"/>
                <w:color w:val="000000"/>
                <w:kern w:val="0"/>
                <w:sz w:val="24"/>
                <w:szCs w:val="24"/>
                <w:lang w:val="en-US" w:eastAsia="zh-CN" w:bidi="ar-SA"/>
              </w:rPr>
            </w:pPr>
            <w:r>
              <w:rPr>
                <w:rFonts w:hint="eastAsia" w:eastAsia="仿宋_GB2312" w:cs="Times New Roman"/>
                <w:kern w:val="0"/>
                <w:sz w:val="24"/>
                <w:szCs w:val="24"/>
              </w:rPr>
              <w:t>反映</w:t>
            </w:r>
            <w:r>
              <w:rPr>
                <w:rFonts w:hint="eastAsia" w:eastAsia="仿宋_GB2312" w:cs="Times New Roman"/>
                <w:kern w:val="0"/>
                <w:sz w:val="24"/>
                <w:szCs w:val="24"/>
                <w:lang w:eastAsia="zh-CN"/>
              </w:rPr>
              <w:t>2023</w:t>
            </w:r>
            <w:r>
              <w:rPr>
                <w:rFonts w:hint="eastAsia" w:eastAsia="仿宋_GB2312" w:cs="Times New Roman"/>
                <w:kern w:val="0"/>
                <w:sz w:val="24"/>
                <w:szCs w:val="24"/>
              </w:rPr>
              <w:t>年</w:t>
            </w:r>
            <w:r>
              <w:rPr>
                <w:rFonts w:hint="eastAsia" w:eastAsia="仿宋_GB2312" w:cs="Times New Roman"/>
                <w:kern w:val="0"/>
                <w:sz w:val="24"/>
                <w:szCs w:val="24"/>
                <w:lang w:eastAsia="zh-CN"/>
              </w:rPr>
              <w:t>曲江区</w:t>
            </w:r>
            <w:r>
              <w:rPr>
                <w:rFonts w:hint="eastAsia" w:eastAsia="仿宋_GB2312" w:cs="Times New Roman"/>
                <w:kern w:val="0"/>
                <w:sz w:val="24"/>
                <w:szCs w:val="24"/>
              </w:rPr>
              <w:t>林业有害生物防治</w:t>
            </w:r>
            <w:r>
              <w:rPr>
                <w:rFonts w:hint="eastAsia" w:eastAsia="仿宋_GB2312" w:cs="Times New Roman"/>
                <w:kern w:val="0"/>
                <w:sz w:val="24"/>
                <w:szCs w:val="24"/>
                <w:lang w:val="en-US" w:eastAsia="zh-CN"/>
              </w:rPr>
              <w:t>任务</w:t>
            </w:r>
            <w:r>
              <w:rPr>
                <w:rFonts w:hint="eastAsia" w:eastAsia="仿宋_GB2312" w:cs="Times New Roman"/>
                <w:kern w:val="0"/>
                <w:sz w:val="24"/>
                <w:szCs w:val="24"/>
              </w:rPr>
              <w:t>完成情况</w:t>
            </w:r>
            <w:r>
              <w:rPr>
                <w:rFonts w:hint="eastAsia" w:eastAsia="仿宋_GB2312" w:cs="Times New Roman"/>
                <w:kern w:val="0"/>
                <w:sz w:val="24"/>
                <w:szCs w:val="24"/>
                <w:lang w:eastAsia="zh-CN"/>
              </w:rPr>
              <w:t>。</w:t>
            </w:r>
          </w:p>
        </w:tc>
        <w:tc>
          <w:tcPr>
            <w:tcW w:w="4725" w:type="dxa"/>
            <w:noWrap w:val="0"/>
            <w:vAlign w:val="center"/>
          </w:tcPr>
          <w:p>
            <w:pPr>
              <w:widowControl/>
              <w:spacing w:line="320" w:lineRule="exact"/>
              <w:jc w:val="left"/>
              <w:rPr>
                <w:rFonts w:hint="eastAsia" w:ascii="Times New Roman" w:hAnsi="Times New Roman" w:eastAsia="仿宋_GB2312" w:cs="Times New Roman"/>
                <w:color w:val="000000"/>
                <w:kern w:val="0"/>
                <w:sz w:val="24"/>
                <w:szCs w:val="24"/>
                <w:lang w:val="en-US" w:eastAsia="zh-CN" w:bidi="ar-SA"/>
              </w:rPr>
            </w:pPr>
            <w:r>
              <w:rPr>
                <w:rFonts w:hint="eastAsia" w:eastAsia="仿宋_GB2312" w:cs="Times New Roman"/>
                <w:kern w:val="0"/>
                <w:sz w:val="24"/>
                <w:szCs w:val="24"/>
              </w:rPr>
              <w:t>完成林业有害生物防治3.8027万亩</w:t>
            </w:r>
            <w:r>
              <w:rPr>
                <w:rFonts w:hint="eastAsia" w:eastAsia="仿宋_GB2312" w:cs="Times New Roman"/>
                <w:kern w:val="0"/>
                <w:sz w:val="24"/>
                <w:szCs w:val="24"/>
                <w:lang w:eastAsia="zh-CN"/>
              </w:rPr>
              <w:t>，</w:t>
            </w:r>
            <w:r>
              <w:rPr>
                <w:rFonts w:hint="eastAsia" w:eastAsia="仿宋_GB2312" w:cs="Times New Roman"/>
                <w:kern w:val="0"/>
                <w:sz w:val="24"/>
                <w:szCs w:val="24"/>
              </w:rPr>
              <w:t>得</w:t>
            </w:r>
            <w:r>
              <w:rPr>
                <w:rFonts w:hint="eastAsia" w:eastAsia="仿宋_GB2312" w:cs="Times New Roman"/>
                <w:kern w:val="0"/>
                <w:sz w:val="24"/>
                <w:szCs w:val="24"/>
                <w:lang w:val="en-US" w:eastAsia="zh-CN"/>
              </w:rPr>
              <w:t>满</w:t>
            </w:r>
            <w:r>
              <w:rPr>
                <w:rFonts w:hint="eastAsia" w:eastAsia="仿宋_GB2312" w:cs="Times New Roman"/>
                <w:kern w:val="0"/>
                <w:sz w:val="24"/>
                <w:szCs w:val="24"/>
              </w:rPr>
              <w:t>分，否则按完成比例得分。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rPr>
                <w:rFonts w:eastAsia="仿宋_GB2312" w:cs="Times New Roman"/>
                <w:kern w:val="0"/>
                <w:sz w:val="24"/>
                <w:szCs w:val="24"/>
              </w:rPr>
            </w:pPr>
          </w:p>
        </w:tc>
        <w:tc>
          <w:tcPr>
            <w:tcW w:w="615" w:type="dxa"/>
            <w:vMerge w:val="continue"/>
            <w:noWrap w:val="0"/>
            <w:vAlign w:val="center"/>
          </w:tcPr>
          <w:p>
            <w:pPr>
              <w:widowControl/>
              <w:spacing w:line="320" w:lineRule="exact"/>
              <w:jc w:val="center"/>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center"/>
              <w:rPr>
                <w:rFonts w:eastAsia="仿宋_GB2312" w:cs="Times New Roman"/>
                <w:kern w:val="0"/>
                <w:sz w:val="24"/>
                <w:szCs w:val="24"/>
              </w:rPr>
            </w:pPr>
          </w:p>
        </w:tc>
        <w:tc>
          <w:tcPr>
            <w:tcW w:w="1320" w:type="dxa"/>
            <w:noWrap w:val="0"/>
            <w:vAlign w:val="center"/>
          </w:tcPr>
          <w:p>
            <w:pPr>
              <w:widowControl/>
              <w:spacing w:line="320" w:lineRule="exact"/>
              <w:jc w:val="left"/>
              <w:rPr>
                <w:rFonts w:eastAsia="仿宋_GB2312" w:cs="Times New Roman"/>
                <w:kern w:val="0"/>
                <w:sz w:val="24"/>
                <w:szCs w:val="24"/>
              </w:rPr>
            </w:pPr>
            <w:r>
              <w:rPr>
                <w:rFonts w:hint="eastAsia" w:eastAsia="仿宋_GB2312" w:cs="Times New Roman"/>
                <w:kern w:val="0"/>
                <w:sz w:val="24"/>
                <w:szCs w:val="24"/>
              </w:rPr>
              <w:t>农村生活污水治理</w:t>
            </w:r>
          </w:p>
        </w:tc>
        <w:tc>
          <w:tcPr>
            <w:tcW w:w="611"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c>
          <w:tcPr>
            <w:tcW w:w="3184" w:type="dxa"/>
            <w:noWrap w:val="0"/>
            <w:vAlign w:val="center"/>
          </w:tcPr>
          <w:p>
            <w:pPr>
              <w:widowControl/>
              <w:spacing w:line="320" w:lineRule="exact"/>
              <w:jc w:val="left"/>
              <w:rPr>
                <w:rFonts w:eastAsia="仿宋_GB2312" w:cs="Times New Roman"/>
                <w:kern w:val="0"/>
                <w:sz w:val="24"/>
                <w:szCs w:val="24"/>
              </w:rPr>
            </w:pPr>
            <w:r>
              <w:rPr>
                <w:rFonts w:hint="eastAsia" w:eastAsia="仿宋_GB2312" w:cs="Times New Roman"/>
                <w:kern w:val="0"/>
                <w:sz w:val="24"/>
                <w:szCs w:val="24"/>
              </w:rPr>
              <w:t>反映</w:t>
            </w:r>
            <w:r>
              <w:rPr>
                <w:rFonts w:hint="eastAsia" w:eastAsia="仿宋_GB2312" w:cs="Times New Roman"/>
                <w:kern w:val="0"/>
                <w:sz w:val="24"/>
                <w:szCs w:val="24"/>
                <w:lang w:eastAsia="zh-CN"/>
              </w:rPr>
              <w:t>2023</w:t>
            </w:r>
            <w:r>
              <w:rPr>
                <w:rFonts w:hint="eastAsia" w:eastAsia="仿宋_GB2312" w:cs="Times New Roman"/>
                <w:kern w:val="0"/>
                <w:sz w:val="24"/>
                <w:szCs w:val="24"/>
              </w:rPr>
              <w:t>年</w:t>
            </w:r>
            <w:r>
              <w:rPr>
                <w:rFonts w:hint="eastAsia" w:eastAsia="仿宋_GB2312" w:cs="Times New Roman"/>
                <w:kern w:val="0"/>
                <w:sz w:val="24"/>
                <w:szCs w:val="24"/>
                <w:lang w:eastAsia="zh-CN"/>
              </w:rPr>
              <w:t>曲江区</w:t>
            </w:r>
            <w:r>
              <w:rPr>
                <w:rFonts w:hint="eastAsia" w:eastAsia="仿宋_GB2312" w:cs="Times New Roman"/>
                <w:kern w:val="0"/>
                <w:sz w:val="24"/>
                <w:szCs w:val="24"/>
                <w:lang w:val="en-US" w:eastAsia="zh-CN"/>
              </w:rPr>
              <w:t>农村生活污水治理工作</w:t>
            </w:r>
            <w:r>
              <w:rPr>
                <w:rFonts w:hint="eastAsia" w:eastAsia="仿宋_GB2312" w:cs="Times New Roman"/>
                <w:kern w:val="0"/>
                <w:sz w:val="24"/>
                <w:szCs w:val="24"/>
              </w:rPr>
              <w:t>完成情况</w:t>
            </w:r>
          </w:p>
        </w:tc>
        <w:tc>
          <w:tcPr>
            <w:tcW w:w="4725" w:type="dxa"/>
            <w:noWrap w:val="0"/>
            <w:vAlign w:val="center"/>
          </w:tcPr>
          <w:p>
            <w:pPr>
              <w:widowControl/>
              <w:spacing w:line="320" w:lineRule="exact"/>
              <w:jc w:val="left"/>
              <w:rPr>
                <w:rFonts w:hint="default" w:eastAsia="仿宋_GB2312" w:cs="Times New Roman"/>
                <w:kern w:val="0"/>
                <w:sz w:val="24"/>
                <w:szCs w:val="24"/>
                <w:lang w:val="en-US" w:eastAsia="zh-CN"/>
              </w:rPr>
            </w:pPr>
            <w:r>
              <w:rPr>
                <w:rFonts w:hint="eastAsia" w:eastAsia="仿宋_GB2312" w:cs="Times New Roman"/>
                <w:kern w:val="0"/>
                <w:sz w:val="24"/>
                <w:szCs w:val="24"/>
                <w:lang w:eastAsia="zh-CN"/>
              </w:rPr>
              <w:t>2023</w:t>
            </w:r>
            <w:r>
              <w:rPr>
                <w:rFonts w:hint="eastAsia" w:eastAsia="仿宋_GB2312" w:cs="Times New Roman"/>
                <w:kern w:val="0"/>
                <w:sz w:val="24"/>
                <w:szCs w:val="24"/>
              </w:rPr>
              <w:t>年</w:t>
            </w:r>
            <w:r>
              <w:rPr>
                <w:rFonts w:hint="eastAsia" w:eastAsia="仿宋_GB2312" w:cs="Times New Roman"/>
                <w:kern w:val="0"/>
                <w:sz w:val="24"/>
                <w:szCs w:val="24"/>
                <w:lang w:val="en-US" w:eastAsia="zh-CN"/>
              </w:rPr>
              <w:t>曲江区当年度新增</w:t>
            </w:r>
            <w:r>
              <w:rPr>
                <w:rFonts w:hint="eastAsia" w:eastAsia="仿宋_GB2312" w:cs="Times New Roman"/>
                <w:kern w:val="0"/>
                <w:sz w:val="24"/>
                <w:szCs w:val="24"/>
              </w:rPr>
              <w:t>完成农村生活污水治理的自然村</w:t>
            </w:r>
            <w:r>
              <w:rPr>
                <w:rFonts w:hint="eastAsia" w:eastAsia="仿宋_GB2312" w:cs="Times New Roman"/>
                <w:kern w:val="0"/>
                <w:sz w:val="24"/>
                <w:szCs w:val="24"/>
                <w:lang w:val="en-US" w:eastAsia="zh-CN"/>
              </w:rPr>
              <w:t>达到18个</w:t>
            </w:r>
            <w:r>
              <w:rPr>
                <w:rFonts w:hint="eastAsia" w:eastAsia="仿宋_GB2312" w:cs="Times New Roman"/>
                <w:kern w:val="0"/>
                <w:sz w:val="24"/>
                <w:szCs w:val="24"/>
              </w:rPr>
              <w:t>，得</w:t>
            </w:r>
            <w:r>
              <w:rPr>
                <w:rFonts w:hint="eastAsia" w:eastAsia="仿宋_GB2312" w:cs="Times New Roman"/>
                <w:kern w:val="0"/>
                <w:sz w:val="24"/>
                <w:szCs w:val="24"/>
                <w:lang w:val="en-US" w:eastAsia="zh-CN"/>
              </w:rPr>
              <w:t>满</w:t>
            </w:r>
            <w:r>
              <w:rPr>
                <w:rFonts w:hint="eastAsia" w:eastAsia="仿宋_GB2312" w:cs="Times New Roman"/>
                <w:kern w:val="0"/>
                <w:sz w:val="24"/>
                <w:szCs w:val="24"/>
              </w:rPr>
              <w:t>分</w:t>
            </w:r>
            <w:r>
              <w:rPr>
                <w:rFonts w:hint="eastAsia" w:eastAsia="仿宋_GB2312" w:cs="Times New Roman"/>
                <w:kern w:val="0"/>
                <w:sz w:val="24"/>
                <w:szCs w:val="24"/>
                <w:lang w:eastAsia="zh-CN"/>
              </w:rPr>
              <w:t>；</w:t>
            </w:r>
            <w:r>
              <w:rPr>
                <w:rFonts w:hint="eastAsia" w:eastAsia="仿宋_GB2312" w:cs="Times New Roman"/>
                <w:kern w:val="0"/>
                <w:sz w:val="24"/>
                <w:szCs w:val="24"/>
              </w:rPr>
              <w:t>否则按完成</w:t>
            </w:r>
            <w:r>
              <w:rPr>
                <w:rFonts w:hint="eastAsia" w:eastAsia="仿宋_GB2312" w:cs="Times New Roman"/>
                <w:kern w:val="0"/>
                <w:sz w:val="24"/>
                <w:szCs w:val="24"/>
                <w:lang w:val="en-US" w:eastAsia="zh-CN"/>
              </w:rPr>
              <w:t>的</w:t>
            </w:r>
            <w:r>
              <w:rPr>
                <w:rFonts w:hint="eastAsia" w:eastAsia="仿宋_GB2312" w:cs="Times New Roman"/>
                <w:kern w:val="0"/>
                <w:sz w:val="24"/>
                <w:szCs w:val="24"/>
              </w:rPr>
              <w:t>比例得分。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613" w:type="dxa"/>
            <w:vMerge w:val="restart"/>
            <w:shd w:val="clear" w:color="auto" w:fill="auto"/>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效益</w:t>
            </w:r>
          </w:p>
        </w:tc>
        <w:tc>
          <w:tcPr>
            <w:tcW w:w="645" w:type="dxa"/>
            <w:vMerge w:val="restart"/>
            <w:shd w:val="clear" w:color="auto" w:fill="auto"/>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30</w:t>
            </w:r>
          </w:p>
        </w:tc>
        <w:tc>
          <w:tcPr>
            <w:tcW w:w="540" w:type="dxa"/>
            <w:vMerge w:val="restart"/>
            <w:shd w:val="clear" w:color="auto" w:fill="auto"/>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效果性</w:t>
            </w:r>
          </w:p>
        </w:tc>
        <w:tc>
          <w:tcPr>
            <w:tcW w:w="615" w:type="dxa"/>
            <w:vMerge w:val="restart"/>
            <w:shd w:val="clear" w:color="auto" w:fill="auto"/>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25</w:t>
            </w:r>
          </w:p>
        </w:tc>
        <w:tc>
          <w:tcPr>
            <w:tcW w:w="945" w:type="dxa"/>
            <w:vMerge w:val="restart"/>
            <w:shd w:val="clear" w:color="auto" w:fill="auto"/>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社会经济效益</w:t>
            </w:r>
          </w:p>
        </w:tc>
        <w:tc>
          <w:tcPr>
            <w:tcW w:w="660" w:type="dxa"/>
            <w:vMerge w:val="restart"/>
            <w:shd w:val="clear" w:color="auto" w:fill="auto"/>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20</w:t>
            </w:r>
          </w:p>
        </w:tc>
        <w:tc>
          <w:tcPr>
            <w:tcW w:w="1320" w:type="dxa"/>
            <w:shd w:val="clear" w:color="000000" w:fill="FFFFFF"/>
            <w:noWrap w:val="0"/>
            <w:vAlign w:val="center"/>
          </w:tcPr>
          <w:p>
            <w:pPr>
              <w:widowControl/>
              <w:spacing w:line="320" w:lineRule="exact"/>
              <w:jc w:val="left"/>
              <w:rPr>
                <w:rFonts w:eastAsia="仿宋_GB2312" w:cs="Times New Roman"/>
                <w:kern w:val="0"/>
                <w:sz w:val="24"/>
                <w:szCs w:val="24"/>
              </w:rPr>
            </w:pPr>
            <w:r>
              <w:rPr>
                <w:rFonts w:hint="eastAsia" w:eastAsia="仿宋_GB2312" w:cs="Times New Roman"/>
                <w:kern w:val="0"/>
                <w:sz w:val="24"/>
                <w:szCs w:val="24"/>
              </w:rPr>
              <w:t>巩固拓展脱贫攻坚成果</w:t>
            </w:r>
          </w:p>
        </w:tc>
        <w:tc>
          <w:tcPr>
            <w:tcW w:w="611" w:type="dxa"/>
            <w:shd w:val="clear" w:color="000000" w:fill="FFFFFF"/>
            <w:noWrap w:val="0"/>
            <w:vAlign w:val="center"/>
          </w:tcPr>
          <w:p>
            <w:pPr>
              <w:widowControl/>
              <w:spacing w:line="320" w:lineRule="exact"/>
              <w:jc w:val="center"/>
              <w:rPr>
                <w:rFonts w:hint="eastAsia" w:eastAsia="仿宋_GB2312" w:cs="Times New Roman"/>
                <w:kern w:val="0"/>
                <w:sz w:val="24"/>
                <w:szCs w:val="24"/>
                <w:lang w:eastAsia="zh-CN"/>
              </w:rPr>
            </w:pPr>
            <w:r>
              <w:rPr>
                <w:rFonts w:hint="eastAsia" w:eastAsia="仿宋_GB2312" w:cs="Times New Roman"/>
                <w:kern w:val="0"/>
                <w:sz w:val="24"/>
                <w:szCs w:val="24"/>
                <w:lang w:val="en-US" w:eastAsia="zh-CN"/>
              </w:rPr>
              <w:t>2</w:t>
            </w:r>
          </w:p>
        </w:tc>
        <w:tc>
          <w:tcPr>
            <w:tcW w:w="3184" w:type="dxa"/>
            <w:shd w:val="clear" w:color="000000" w:fill="FFFFFF"/>
            <w:noWrap w:val="0"/>
            <w:vAlign w:val="center"/>
          </w:tcPr>
          <w:p>
            <w:pPr>
              <w:widowControl/>
              <w:spacing w:line="320" w:lineRule="exact"/>
              <w:jc w:val="left"/>
              <w:rPr>
                <w:rFonts w:hint="eastAsia" w:eastAsia="仿宋_GB2312" w:cs="Times New Roman"/>
                <w:kern w:val="0"/>
                <w:sz w:val="24"/>
                <w:szCs w:val="24"/>
                <w:lang w:eastAsia="zh-CN"/>
              </w:rPr>
            </w:pPr>
            <w:r>
              <w:rPr>
                <w:rFonts w:eastAsia="仿宋_GB2312" w:cs="Times New Roman"/>
                <w:kern w:val="0"/>
                <w:sz w:val="24"/>
                <w:szCs w:val="24"/>
              </w:rPr>
              <w:t>反映</w:t>
            </w:r>
            <w:r>
              <w:rPr>
                <w:rFonts w:hint="eastAsia" w:eastAsia="仿宋_GB2312" w:cs="Times New Roman"/>
                <w:kern w:val="0"/>
                <w:sz w:val="24"/>
                <w:szCs w:val="24"/>
                <w:lang w:eastAsia="zh-CN"/>
              </w:rPr>
              <w:t>2023</w:t>
            </w:r>
            <w:r>
              <w:rPr>
                <w:rFonts w:eastAsia="仿宋_GB2312" w:cs="Times New Roman"/>
                <w:kern w:val="0"/>
                <w:sz w:val="24"/>
                <w:szCs w:val="24"/>
              </w:rPr>
              <w:t>年</w:t>
            </w:r>
            <w:r>
              <w:rPr>
                <w:rFonts w:hint="eastAsia" w:eastAsia="仿宋_GB2312" w:cs="Times New Roman"/>
                <w:kern w:val="0"/>
                <w:sz w:val="24"/>
                <w:szCs w:val="24"/>
                <w:lang w:eastAsia="zh-CN"/>
              </w:rPr>
              <w:t>曲江区</w:t>
            </w:r>
            <w:r>
              <w:rPr>
                <w:rFonts w:hint="eastAsia" w:eastAsia="仿宋_GB2312" w:cs="Times New Roman"/>
                <w:kern w:val="0"/>
                <w:sz w:val="24"/>
                <w:szCs w:val="24"/>
                <w:lang w:val="en-US" w:eastAsia="zh-CN"/>
              </w:rPr>
              <w:t>帮扶</w:t>
            </w:r>
            <w:r>
              <w:rPr>
                <w:rFonts w:eastAsia="仿宋_GB2312" w:cs="Times New Roman"/>
                <w:kern w:val="0"/>
                <w:sz w:val="24"/>
                <w:szCs w:val="24"/>
              </w:rPr>
              <w:t>工作</w:t>
            </w:r>
            <w:r>
              <w:rPr>
                <w:rFonts w:hint="eastAsia" w:eastAsia="仿宋_GB2312" w:cs="Times New Roman"/>
                <w:kern w:val="0"/>
                <w:sz w:val="24"/>
                <w:szCs w:val="24"/>
                <w:lang w:val="en-US" w:eastAsia="zh-CN"/>
              </w:rPr>
              <w:t>成效</w:t>
            </w:r>
          </w:p>
        </w:tc>
        <w:tc>
          <w:tcPr>
            <w:tcW w:w="4725" w:type="dxa"/>
            <w:noWrap w:val="0"/>
            <w:vAlign w:val="center"/>
          </w:tcPr>
          <w:p>
            <w:pPr>
              <w:widowControl/>
              <w:spacing w:line="320" w:lineRule="exact"/>
              <w:jc w:val="left"/>
              <w:rPr>
                <w:rFonts w:eastAsia="仿宋_GB2312" w:cs="Times New Roman"/>
                <w:kern w:val="0"/>
                <w:sz w:val="24"/>
                <w:szCs w:val="24"/>
              </w:rPr>
            </w:pPr>
            <w:r>
              <w:rPr>
                <w:rFonts w:hint="eastAsia" w:eastAsia="仿宋_GB2312" w:cs="Times New Roman"/>
                <w:kern w:val="0"/>
                <w:sz w:val="24"/>
                <w:szCs w:val="24"/>
                <w:lang w:val="en-US" w:eastAsia="zh-CN"/>
              </w:rPr>
              <w:t>2023年</w:t>
            </w:r>
            <w:r>
              <w:rPr>
                <w:rFonts w:hint="eastAsia" w:eastAsia="仿宋_GB2312" w:cs="Times New Roman"/>
                <w:kern w:val="0"/>
                <w:sz w:val="24"/>
                <w:szCs w:val="24"/>
                <w:lang w:eastAsia="zh-CN"/>
              </w:rPr>
              <w:t>曲江区</w:t>
            </w:r>
            <w:r>
              <w:rPr>
                <w:rFonts w:hint="eastAsia" w:eastAsia="仿宋_GB2312" w:cs="Times New Roman"/>
                <w:kern w:val="0"/>
                <w:sz w:val="24"/>
                <w:szCs w:val="24"/>
                <w:lang w:val="en-US" w:eastAsia="zh-CN"/>
              </w:rPr>
              <w:t>不发生规模性返贫</w:t>
            </w:r>
            <w:r>
              <w:rPr>
                <w:rFonts w:eastAsia="仿宋_GB2312" w:cs="Times New Roman"/>
                <w:kern w:val="0"/>
                <w:sz w:val="24"/>
                <w:szCs w:val="24"/>
              </w:rPr>
              <w:t>，得</w:t>
            </w:r>
            <w:r>
              <w:rPr>
                <w:rFonts w:hint="eastAsia" w:eastAsia="仿宋_GB2312" w:cs="Times New Roman"/>
                <w:kern w:val="0"/>
                <w:sz w:val="24"/>
                <w:szCs w:val="24"/>
                <w:lang w:val="en-US" w:eastAsia="zh-CN"/>
              </w:rPr>
              <w:t>满</w:t>
            </w:r>
            <w:r>
              <w:rPr>
                <w:rFonts w:eastAsia="仿宋_GB2312" w:cs="Times New Roman"/>
                <w:kern w:val="0"/>
                <w:sz w:val="24"/>
                <w:szCs w:val="24"/>
              </w:rPr>
              <w:t>分</w:t>
            </w:r>
            <w:r>
              <w:rPr>
                <w:rFonts w:hint="eastAsia" w:eastAsia="仿宋_GB2312" w:cs="Times New Roman"/>
                <w:kern w:val="0"/>
                <w:sz w:val="24"/>
                <w:szCs w:val="24"/>
                <w:lang w:eastAsia="zh-CN"/>
              </w:rPr>
              <w:t>；</w:t>
            </w:r>
            <w:r>
              <w:rPr>
                <w:rFonts w:eastAsia="仿宋_GB2312" w:cs="Times New Roman"/>
                <w:kern w:val="0"/>
                <w:sz w:val="24"/>
                <w:szCs w:val="24"/>
              </w:rPr>
              <w:t>否则</w:t>
            </w:r>
            <w:r>
              <w:rPr>
                <w:rFonts w:hint="eastAsia" w:eastAsia="仿宋_GB2312" w:cs="Times New Roman"/>
                <w:kern w:val="0"/>
                <w:sz w:val="24"/>
                <w:szCs w:val="24"/>
                <w:lang w:val="en-US" w:eastAsia="zh-CN"/>
              </w:rPr>
              <w:t>不得</w:t>
            </w:r>
            <w:r>
              <w:rPr>
                <w:rFonts w:eastAsia="仿宋_GB2312" w:cs="Times New Roman"/>
                <w:kern w:val="0"/>
                <w:sz w:val="24"/>
                <w:szCs w:val="24"/>
              </w:rPr>
              <w:t>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613"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54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1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9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6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1320" w:type="dxa"/>
            <w:shd w:val="clear" w:color="000000" w:fill="FFFFFF"/>
            <w:noWrap w:val="0"/>
            <w:vAlign w:val="center"/>
          </w:tcPr>
          <w:p>
            <w:pPr>
              <w:widowControl/>
              <w:spacing w:line="320" w:lineRule="exact"/>
              <w:jc w:val="left"/>
              <w:rPr>
                <w:rFonts w:hint="eastAsia" w:ascii="Calibri" w:hAnsi="Calibri" w:eastAsia="仿宋_GB2312" w:cs="Times New Roman"/>
                <w:bCs/>
                <w:kern w:val="0"/>
                <w:sz w:val="24"/>
                <w:szCs w:val="24"/>
                <w:lang w:val="en-US" w:eastAsia="zh-CN" w:bidi="ar-SA"/>
              </w:rPr>
            </w:pPr>
            <w:r>
              <w:rPr>
                <w:rFonts w:hint="eastAsia" w:eastAsia="仿宋_GB2312" w:cs="Times New Roman"/>
                <w:sz w:val="24"/>
                <w:szCs w:val="20"/>
              </w:rPr>
              <w:t>粮食安全</w:t>
            </w:r>
            <w:r>
              <w:rPr>
                <w:rFonts w:hint="eastAsia" w:eastAsia="仿宋_GB2312" w:cs="Times New Roman"/>
                <w:sz w:val="24"/>
                <w:szCs w:val="20"/>
                <w:lang w:val="en-US" w:eastAsia="zh-CN"/>
              </w:rPr>
              <w:t>保障</w:t>
            </w:r>
          </w:p>
        </w:tc>
        <w:tc>
          <w:tcPr>
            <w:tcW w:w="611" w:type="dxa"/>
            <w:shd w:val="clear" w:color="000000" w:fill="FFFFFF"/>
            <w:noWrap w:val="0"/>
            <w:vAlign w:val="center"/>
          </w:tcPr>
          <w:p>
            <w:pPr>
              <w:widowControl/>
              <w:spacing w:line="320" w:lineRule="exact"/>
              <w:jc w:val="center"/>
              <w:rPr>
                <w:rFonts w:hint="eastAsia" w:ascii="Calibri" w:hAnsi="Calibri" w:eastAsia="仿宋_GB2312" w:cs="Times New Roman"/>
                <w:bCs/>
                <w:kern w:val="0"/>
                <w:sz w:val="24"/>
                <w:szCs w:val="24"/>
                <w:lang w:val="en-US" w:eastAsia="zh-CN" w:bidi="ar-SA"/>
              </w:rPr>
            </w:pPr>
            <w:r>
              <w:rPr>
                <w:rFonts w:hint="eastAsia" w:eastAsia="仿宋_GB2312" w:cs="Times New Roman"/>
                <w:bCs/>
                <w:kern w:val="0"/>
                <w:sz w:val="24"/>
                <w:szCs w:val="24"/>
                <w:lang w:val="en-US" w:eastAsia="zh-CN"/>
              </w:rPr>
              <w:t>4</w:t>
            </w:r>
          </w:p>
        </w:tc>
        <w:tc>
          <w:tcPr>
            <w:tcW w:w="3184" w:type="dxa"/>
            <w:shd w:val="clear" w:color="000000" w:fill="FFFFFF"/>
            <w:noWrap w:val="0"/>
            <w:vAlign w:val="center"/>
          </w:tcPr>
          <w:p>
            <w:pPr>
              <w:widowControl/>
              <w:spacing w:line="320" w:lineRule="exact"/>
              <w:jc w:val="left"/>
              <w:rPr>
                <w:rFonts w:hint="eastAsia" w:ascii="Calibri" w:hAnsi="Calibri" w:eastAsia="仿宋_GB2312" w:cs="Times New Roman"/>
                <w:bCs/>
                <w:kern w:val="0"/>
                <w:sz w:val="24"/>
                <w:szCs w:val="24"/>
                <w:lang w:val="en-US" w:eastAsia="zh-CN" w:bidi="ar-SA"/>
              </w:rPr>
            </w:pPr>
            <w:r>
              <w:rPr>
                <w:rFonts w:hint="eastAsia" w:eastAsia="仿宋_GB2312" w:cs="Times New Roman"/>
                <w:bCs/>
                <w:kern w:val="0"/>
                <w:sz w:val="24"/>
                <w:szCs w:val="24"/>
              </w:rPr>
              <w:t>反映</w:t>
            </w:r>
            <w:r>
              <w:rPr>
                <w:rFonts w:hint="eastAsia" w:eastAsia="仿宋_GB2312" w:cs="Times New Roman"/>
                <w:bCs/>
                <w:kern w:val="0"/>
                <w:sz w:val="24"/>
                <w:szCs w:val="24"/>
                <w:lang w:eastAsia="zh-CN"/>
              </w:rPr>
              <w:t>2023</w:t>
            </w:r>
            <w:r>
              <w:rPr>
                <w:rFonts w:hint="eastAsia" w:eastAsia="仿宋_GB2312" w:cs="Times New Roman"/>
                <w:bCs/>
                <w:kern w:val="0"/>
                <w:sz w:val="24"/>
                <w:szCs w:val="24"/>
              </w:rPr>
              <w:t>年</w:t>
            </w:r>
            <w:r>
              <w:rPr>
                <w:rFonts w:hint="eastAsia" w:eastAsia="仿宋_GB2312" w:cs="Times New Roman"/>
                <w:bCs/>
                <w:kern w:val="0"/>
                <w:sz w:val="24"/>
                <w:szCs w:val="24"/>
                <w:lang w:eastAsia="zh-CN"/>
              </w:rPr>
              <w:t>曲江区</w:t>
            </w:r>
            <w:r>
              <w:rPr>
                <w:rFonts w:hint="eastAsia" w:eastAsia="仿宋_GB2312" w:cs="Times New Roman"/>
                <w:bCs/>
                <w:kern w:val="0"/>
                <w:sz w:val="24"/>
                <w:szCs w:val="24"/>
              </w:rPr>
              <w:t>粮食生产情况</w:t>
            </w:r>
          </w:p>
        </w:tc>
        <w:tc>
          <w:tcPr>
            <w:tcW w:w="4725" w:type="dxa"/>
            <w:noWrap w:val="0"/>
            <w:vAlign w:val="center"/>
          </w:tcPr>
          <w:p>
            <w:pPr>
              <w:widowControl/>
              <w:numPr>
                <w:ilvl w:val="0"/>
                <w:numId w:val="10"/>
              </w:numPr>
              <w:spacing w:line="320" w:lineRule="exact"/>
              <w:jc w:val="left"/>
              <w:rPr>
                <w:rFonts w:eastAsia="仿宋_GB2312" w:cs="Times New Roman"/>
                <w:kern w:val="0"/>
                <w:sz w:val="24"/>
                <w:szCs w:val="24"/>
              </w:rPr>
            </w:pPr>
            <w:r>
              <w:rPr>
                <w:rFonts w:hint="eastAsia" w:eastAsia="仿宋_GB2312" w:cs="Times New Roman"/>
                <w:bCs/>
                <w:kern w:val="0"/>
                <w:sz w:val="24"/>
                <w:szCs w:val="24"/>
                <w:lang w:eastAsia="zh-CN"/>
              </w:rPr>
              <w:t>2023</w:t>
            </w:r>
            <w:r>
              <w:rPr>
                <w:rFonts w:hint="eastAsia" w:eastAsia="仿宋_GB2312" w:cs="Times New Roman"/>
                <w:bCs/>
                <w:kern w:val="0"/>
                <w:sz w:val="24"/>
                <w:szCs w:val="24"/>
              </w:rPr>
              <w:t>年</w:t>
            </w:r>
            <w:r>
              <w:rPr>
                <w:rFonts w:hint="eastAsia" w:eastAsia="仿宋_GB2312" w:cs="Times New Roman"/>
                <w:bCs/>
                <w:kern w:val="0"/>
                <w:sz w:val="24"/>
                <w:szCs w:val="24"/>
                <w:lang w:val="en-US" w:eastAsia="zh-CN"/>
              </w:rPr>
              <w:t>曲江区</w:t>
            </w:r>
            <w:r>
              <w:rPr>
                <w:rFonts w:hint="eastAsia" w:eastAsia="仿宋_GB2312" w:cs="Times New Roman"/>
                <w:sz w:val="24"/>
                <w:szCs w:val="20"/>
              </w:rPr>
              <w:t>粮食播种面积不低于17.63万亩</w:t>
            </w:r>
            <w:r>
              <w:rPr>
                <w:rFonts w:hint="eastAsia" w:eastAsia="仿宋_GB2312" w:cs="Times New Roman"/>
                <w:sz w:val="24"/>
                <w:szCs w:val="20"/>
                <w:lang w:eastAsia="zh-CN"/>
              </w:rPr>
              <w:t>，</w:t>
            </w:r>
            <w:r>
              <w:rPr>
                <w:rFonts w:hint="eastAsia" w:eastAsia="仿宋_GB2312" w:cs="Times New Roman"/>
                <w:bCs/>
                <w:kern w:val="0"/>
                <w:sz w:val="24"/>
                <w:szCs w:val="24"/>
                <w:lang w:val="en-US" w:eastAsia="zh-CN"/>
              </w:rPr>
              <w:t>实现粮食总产量不少于7.59万吨，</w:t>
            </w:r>
            <w:r>
              <w:rPr>
                <w:rFonts w:hint="eastAsia" w:eastAsia="仿宋_GB2312" w:cs="Times New Roman"/>
                <w:bCs/>
                <w:kern w:val="0"/>
                <w:sz w:val="24"/>
                <w:szCs w:val="24"/>
              </w:rPr>
              <w:t>得</w:t>
            </w:r>
            <w:r>
              <w:rPr>
                <w:rFonts w:hint="eastAsia" w:eastAsia="仿宋_GB2312" w:cs="Times New Roman"/>
                <w:bCs/>
                <w:kern w:val="0"/>
                <w:sz w:val="24"/>
                <w:szCs w:val="24"/>
                <w:lang w:val="en-US" w:eastAsia="zh-CN"/>
              </w:rPr>
              <w:t>2</w:t>
            </w:r>
            <w:r>
              <w:rPr>
                <w:rFonts w:hint="eastAsia" w:eastAsia="仿宋_GB2312" w:cs="Times New Roman"/>
                <w:bCs/>
                <w:kern w:val="0"/>
                <w:sz w:val="24"/>
                <w:szCs w:val="24"/>
              </w:rPr>
              <w:t>分</w:t>
            </w:r>
            <w:r>
              <w:rPr>
                <w:rFonts w:hint="eastAsia" w:eastAsia="仿宋_GB2312" w:cs="Times New Roman"/>
                <w:kern w:val="0"/>
                <w:sz w:val="24"/>
                <w:szCs w:val="24"/>
                <w:lang w:val="en-US" w:eastAsia="zh-CN"/>
              </w:rPr>
              <w:t>；否则，按完成比例得分。</w:t>
            </w:r>
          </w:p>
          <w:p>
            <w:pPr>
              <w:widowControl/>
              <w:numPr>
                <w:ilvl w:val="0"/>
                <w:numId w:val="10"/>
              </w:numPr>
              <w:spacing w:line="320" w:lineRule="exact"/>
              <w:jc w:val="left"/>
              <w:rPr>
                <w:rFonts w:eastAsia="仿宋_GB2312" w:cs="Times New Roman"/>
                <w:kern w:val="0"/>
                <w:sz w:val="24"/>
                <w:szCs w:val="24"/>
              </w:rPr>
            </w:pPr>
            <w:r>
              <w:rPr>
                <w:rFonts w:hint="eastAsia" w:eastAsia="仿宋_GB2312" w:cs="Times New Roman"/>
                <w:bCs/>
                <w:kern w:val="0"/>
                <w:sz w:val="24"/>
                <w:szCs w:val="24"/>
                <w:lang w:eastAsia="zh-CN"/>
              </w:rPr>
              <w:t>2023</w:t>
            </w:r>
            <w:r>
              <w:rPr>
                <w:rFonts w:hint="eastAsia" w:eastAsia="仿宋_GB2312" w:cs="Times New Roman"/>
                <w:bCs/>
                <w:kern w:val="0"/>
                <w:sz w:val="24"/>
                <w:szCs w:val="24"/>
              </w:rPr>
              <w:t>年</w:t>
            </w:r>
            <w:r>
              <w:rPr>
                <w:rFonts w:hint="eastAsia" w:eastAsia="仿宋_GB2312" w:cs="Times New Roman"/>
                <w:bCs/>
                <w:kern w:val="0"/>
                <w:sz w:val="24"/>
                <w:szCs w:val="24"/>
                <w:lang w:val="en-US" w:eastAsia="zh-CN"/>
              </w:rPr>
              <w:t>曲江区大豆播种面积不少于0.35万亩，油料播种不少于4.93万亩，</w:t>
            </w:r>
            <w:r>
              <w:rPr>
                <w:rFonts w:hint="eastAsia" w:eastAsia="仿宋_GB2312" w:cs="Times New Roman"/>
                <w:kern w:val="0"/>
                <w:sz w:val="24"/>
                <w:szCs w:val="24"/>
                <w:lang w:val="en-US" w:eastAsia="zh-CN"/>
              </w:rPr>
              <w:t>得1分；</w:t>
            </w:r>
            <w:r>
              <w:rPr>
                <w:rFonts w:hint="eastAsia" w:eastAsia="仿宋_GB2312" w:cs="Times New Roman"/>
                <w:kern w:val="0"/>
                <w:sz w:val="24"/>
                <w:szCs w:val="24"/>
              </w:rPr>
              <w:t>否则按完成的比例得分。</w:t>
            </w:r>
          </w:p>
          <w:p>
            <w:pPr>
              <w:widowControl/>
              <w:numPr>
                <w:ilvl w:val="0"/>
                <w:numId w:val="10"/>
              </w:numPr>
              <w:spacing w:line="320" w:lineRule="exact"/>
              <w:jc w:val="left"/>
              <w:rPr>
                <w:rFonts w:hint="eastAsia" w:ascii="Calibri" w:hAnsi="Calibri" w:eastAsia="仿宋_GB2312" w:cs="Times New Roman"/>
                <w:bCs/>
                <w:kern w:val="0"/>
                <w:sz w:val="24"/>
                <w:szCs w:val="24"/>
                <w:lang w:val="en-US" w:eastAsia="zh-CN" w:bidi="ar-SA"/>
              </w:rPr>
            </w:pPr>
            <w:r>
              <w:rPr>
                <w:rFonts w:hint="eastAsia" w:ascii="Calibri" w:hAnsi="Calibri" w:eastAsia="仿宋_GB2312" w:cs="Times New Roman"/>
                <w:bCs/>
                <w:kern w:val="0"/>
                <w:sz w:val="24"/>
                <w:szCs w:val="24"/>
                <w:lang w:val="en-US" w:eastAsia="zh-CN" w:bidi="ar-SA"/>
              </w:rPr>
              <w:t>水稻耕种收综合机械化率不低于81.01%</w:t>
            </w:r>
            <w:r>
              <w:rPr>
                <w:rFonts w:hint="eastAsia" w:eastAsia="仿宋_GB2312" w:cs="Times New Roman"/>
                <w:bCs/>
                <w:kern w:val="0"/>
                <w:sz w:val="24"/>
                <w:szCs w:val="24"/>
                <w:lang w:val="en-US" w:eastAsia="zh-CN" w:bidi="ar-SA"/>
              </w:rPr>
              <w:t>，</w:t>
            </w:r>
            <w:r>
              <w:rPr>
                <w:rFonts w:hint="eastAsia" w:eastAsia="仿宋_GB2312" w:cs="Times New Roman"/>
                <w:kern w:val="0"/>
                <w:sz w:val="24"/>
                <w:szCs w:val="24"/>
                <w:lang w:val="en-US" w:eastAsia="zh-CN"/>
              </w:rPr>
              <w:t>得1分；</w:t>
            </w:r>
            <w:r>
              <w:rPr>
                <w:rFonts w:hint="eastAsia" w:eastAsia="仿宋_GB2312" w:cs="Times New Roman"/>
                <w:kern w:val="0"/>
                <w:sz w:val="24"/>
                <w:szCs w:val="24"/>
              </w:rPr>
              <w:t>否则</w:t>
            </w:r>
            <w:r>
              <w:rPr>
                <w:rFonts w:hint="eastAsia" w:eastAsia="仿宋_GB2312" w:cs="Times New Roman"/>
                <w:kern w:val="0"/>
                <w:sz w:val="24"/>
                <w:szCs w:val="24"/>
                <w:lang w:val="en-US" w:eastAsia="zh-CN"/>
              </w:rPr>
              <w:t>不</w:t>
            </w:r>
            <w:r>
              <w:rPr>
                <w:rFonts w:hint="eastAsia" w:eastAsia="仿宋_GB2312" w:cs="Times New Roman"/>
                <w:kern w:val="0"/>
                <w:sz w:val="24"/>
                <w:szCs w:val="24"/>
              </w:rPr>
              <w:t>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613"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54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1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9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6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1320" w:type="dxa"/>
            <w:shd w:val="clear" w:color="000000" w:fill="FFFFFF"/>
            <w:noWrap w:val="0"/>
            <w:vAlign w:val="center"/>
          </w:tcPr>
          <w:p>
            <w:pPr>
              <w:widowControl/>
              <w:spacing w:line="320" w:lineRule="exact"/>
              <w:jc w:val="left"/>
              <w:rPr>
                <w:rFonts w:hint="eastAsia" w:eastAsia="仿宋_GB2312" w:cs="Times New Roman"/>
                <w:bCs/>
                <w:kern w:val="0"/>
                <w:sz w:val="24"/>
                <w:szCs w:val="24"/>
                <w:lang w:eastAsia="zh-CN"/>
              </w:rPr>
            </w:pPr>
            <w:r>
              <w:rPr>
                <w:rFonts w:hint="eastAsia" w:eastAsia="仿宋_GB2312" w:cs="Times New Roman"/>
                <w:bCs/>
                <w:kern w:val="0"/>
                <w:sz w:val="24"/>
                <w:szCs w:val="24"/>
                <w:lang w:eastAsia="zh-CN"/>
              </w:rPr>
              <w:t>受污染耕地安全利用率</w:t>
            </w:r>
          </w:p>
        </w:tc>
        <w:tc>
          <w:tcPr>
            <w:tcW w:w="611" w:type="dxa"/>
            <w:shd w:val="clear" w:color="000000" w:fill="FFFFFF"/>
            <w:noWrap w:val="0"/>
            <w:vAlign w:val="center"/>
          </w:tcPr>
          <w:p>
            <w:pPr>
              <w:widowControl/>
              <w:spacing w:line="320" w:lineRule="exact"/>
              <w:jc w:val="center"/>
              <w:rPr>
                <w:rFonts w:hint="default" w:eastAsia="仿宋_GB2312" w:cs="Times New Roman"/>
                <w:bCs/>
                <w:kern w:val="0"/>
                <w:sz w:val="24"/>
                <w:szCs w:val="24"/>
                <w:lang w:val="en-US" w:eastAsia="zh-CN"/>
              </w:rPr>
            </w:pPr>
            <w:r>
              <w:rPr>
                <w:rFonts w:hint="eastAsia" w:eastAsia="仿宋_GB2312" w:cs="Times New Roman"/>
                <w:bCs/>
                <w:kern w:val="0"/>
                <w:sz w:val="24"/>
                <w:szCs w:val="24"/>
                <w:lang w:val="en-US" w:eastAsia="zh-CN"/>
              </w:rPr>
              <w:t>2</w:t>
            </w:r>
          </w:p>
        </w:tc>
        <w:tc>
          <w:tcPr>
            <w:tcW w:w="3184" w:type="dxa"/>
            <w:shd w:val="clear" w:color="000000" w:fill="FFFFFF"/>
            <w:noWrap w:val="0"/>
            <w:vAlign w:val="center"/>
          </w:tcPr>
          <w:p>
            <w:pPr>
              <w:widowControl/>
              <w:spacing w:line="320" w:lineRule="exact"/>
              <w:jc w:val="left"/>
              <w:rPr>
                <w:rFonts w:eastAsia="仿宋_GB2312" w:cs="Times New Roman"/>
                <w:bCs/>
                <w:kern w:val="0"/>
                <w:sz w:val="24"/>
                <w:szCs w:val="24"/>
              </w:rPr>
            </w:pPr>
            <w:r>
              <w:rPr>
                <w:rFonts w:hint="eastAsia" w:eastAsia="仿宋_GB2312" w:cs="Times New Roman"/>
                <w:bCs/>
                <w:kern w:val="0"/>
                <w:sz w:val="24"/>
                <w:szCs w:val="24"/>
              </w:rPr>
              <w:t>反映</w:t>
            </w:r>
            <w:r>
              <w:rPr>
                <w:rFonts w:hint="eastAsia" w:eastAsia="仿宋_GB2312" w:cs="Times New Roman"/>
                <w:bCs/>
                <w:kern w:val="0"/>
                <w:sz w:val="24"/>
                <w:szCs w:val="24"/>
                <w:lang w:eastAsia="zh-CN"/>
              </w:rPr>
              <w:t>2023</w:t>
            </w:r>
            <w:r>
              <w:rPr>
                <w:rFonts w:hint="eastAsia" w:eastAsia="仿宋_GB2312" w:cs="Times New Roman"/>
                <w:bCs/>
                <w:kern w:val="0"/>
                <w:sz w:val="24"/>
                <w:szCs w:val="24"/>
              </w:rPr>
              <w:t>年</w:t>
            </w:r>
            <w:r>
              <w:rPr>
                <w:rFonts w:hint="eastAsia" w:eastAsia="仿宋_GB2312" w:cs="Times New Roman"/>
                <w:bCs/>
                <w:kern w:val="0"/>
                <w:sz w:val="24"/>
                <w:szCs w:val="24"/>
                <w:lang w:eastAsia="zh-CN"/>
              </w:rPr>
              <w:t>曲江区受污染耕地安全利用</w:t>
            </w:r>
            <w:r>
              <w:rPr>
                <w:rFonts w:hint="eastAsia" w:eastAsia="仿宋_GB2312" w:cs="Times New Roman"/>
                <w:bCs/>
                <w:kern w:val="0"/>
                <w:sz w:val="24"/>
                <w:szCs w:val="24"/>
              </w:rPr>
              <w:t>情况</w:t>
            </w:r>
          </w:p>
        </w:tc>
        <w:tc>
          <w:tcPr>
            <w:tcW w:w="4725" w:type="dxa"/>
            <w:noWrap w:val="0"/>
            <w:vAlign w:val="center"/>
          </w:tcPr>
          <w:p>
            <w:pPr>
              <w:widowControl/>
              <w:spacing w:line="320" w:lineRule="exact"/>
              <w:jc w:val="left"/>
              <w:rPr>
                <w:rFonts w:hint="default" w:eastAsia="仿宋_GB2312" w:cs="Times New Roman"/>
                <w:bCs/>
                <w:kern w:val="0"/>
                <w:sz w:val="24"/>
                <w:szCs w:val="24"/>
                <w:lang w:val="en-US" w:eastAsia="zh-CN"/>
              </w:rPr>
            </w:pPr>
            <w:r>
              <w:rPr>
                <w:rFonts w:hint="eastAsia" w:eastAsia="仿宋_GB2312" w:cs="Times New Roman"/>
                <w:bCs/>
                <w:kern w:val="0"/>
                <w:sz w:val="24"/>
                <w:szCs w:val="24"/>
                <w:lang w:eastAsia="zh-CN"/>
              </w:rPr>
              <w:t>2023</w:t>
            </w:r>
            <w:r>
              <w:rPr>
                <w:rFonts w:hint="eastAsia" w:eastAsia="仿宋_GB2312" w:cs="Times New Roman"/>
                <w:bCs/>
                <w:kern w:val="0"/>
                <w:sz w:val="24"/>
                <w:szCs w:val="24"/>
              </w:rPr>
              <w:t>年曲江区受污染耕地安全利用率</w:t>
            </w:r>
            <w:r>
              <w:rPr>
                <w:rFonts w:hint="eastAsia" w:eastAsia="仿宋_GB2312" w:cs="Times New Roman"/>
                <w:bCs/>
                <w:kern w:val="0"/>
                <w:sz w:val="24"/>
                <w:szCs w:val="24"/>
                <w:lang w:val="en-US" w:eastAsia="zh-CN"/>
              </w:rPr>
              <w:t>达到91%以上，</w:t>
            </w:r>
            <w:r>
              <w:rPr>
                <w:rFonts w:hint="eastAsia" w:eastAsia="仿宋_GB2312" w:cs="Times New Roman"/>
                <w:kern w:val="0"/>
                <w:sz w:val="24"/>
                <w:szCs w:val="24"/>
                <w:lang w:val="en-US" w:eastAsia="zh-CN"/>
              </w:rPr>
              <w:t>得满分；</w:t>
            </w:r>
            <w:r>
              <w:rPr>
                <w:rFonts w:hint="eastAsia" w:eastAsia="仿宋_GB2312" w:cs="Times New Roman"/>
                <w:kern w:val="0"/>
                <w:sz w:val="24"/>
                <w:szCs w:val="24"/>
              </w:rPr>
              <w:t>否则</w:t>
            </w:r>
            <w:r>
              <w:rPr>
                <w:rFonts w:hint="eastAsia" w:eastAsia="仿宋_GB2312" w:cs="Times New Roman"/>
                <w:kern w:val="0"/>
                <w:sz w:val="24"/>
                <w:szCs w:val="24"/>
                <w:lang w:val="en-US" w:eastAsia="zh-CN"/>
              </w:rPr>
              <w:t>不</w:t>
            </w:r>
            <w:r>
              <w:rPr>
                <w:rFonts w:hint="eastAsia" w:eastAsia="仿宋_GB2312" w:cs="Times New Roman"/>
                <w:kern w:val="0"/>
                <w:sz w:val="24"/>
                <w:szCs w:val="24"/>
              </w:rPr>
              <w:t>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3"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54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1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9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6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1320" w:type="dxa"/>
            <w:shd w:val="clear" w:color="000000" w:fill="FFFFFF"/>
            <w:noWrap w:val="0"/>
            <w:vAlign w:val="center"/>
          </w:tcPr>
          <w:p>
            <w:pPr>
              <w:widowControl/>
              <w:spacing w:line="320" w:lineRule="exact"/>
              <w:jc w:val="left"/>
              <w:rPr>
                <w:rFonts w:eastAsia="仿宋_GB2312" w:cs="Times New Roman"/>
                <w:kern w:val="0"/>
                <w:sz w:val="24"/>
                <w:szCs w:val="24"/>
              </w:rPr>
            </w:pPr>
            <w:r>
              <w:rPr>
                <w:rFonts w:hint="eastAsia" w:eastAsia="仿宋_GB2312" w:cs="Times New Roman"/>
                <w:bCs/>
                <w:kern w:val="0"/>
                <w:sz w:val="24"/>
                <w:szCs w:val="24"/>
              </w:rPr>
              <w:t>保障农产品质量安全</w:t>
            </w:r>
          </w:p>
        </w:tc>
        <w:tc>
          <w:tcPr>
            <w:tcW w:w="611" w:type="dxa"/>
            <w:shd w:val="clear" w:color="000000" w:fill="FFFFFF"/>
            <w:noWrap w:val="0"/>
            <w:vAlign w:val="center"/>
          </w:tcPr>
          <w:p>
            <w:pPr>
              <w:widowControl/>
              <w:spacing w:line="320" w:lineRule="exact"/>
              <w:jc w:val="center"/>
              <w:rPr>
                <w:rFonts w:hint="eastAsia" w:eastAsia="仿宋_GB2312" w:cs="Times New Roman"/>
                <w:kern w:val="0"/>
                <w:sz w:val="24"/>
                <w:szCs w:val="24"/>
                <w:lang w:eastAsia="zh-CN"/>
              </w:rPr>
            </w:pPr>
            <w:r>
              <w:rPr>
                <w:rFonts w:hint="eastAsia" w:eastAsia="仿宋_GB2312" w:cs="Times New Roman"/>
                <w:bCs/>
                <w:kern w:val="0"/>
                <w:sz w:val="24"/>
                <w:szCs w:val="24"/>
                <w:lang w:val="en-US" w:eastAsia="zh-CN"/>
              </w:rPr>
              <w:t>2</w:t>
            </w:r>
          </w:p>
        </w:tc>
        <w:tc>
          <w:tcPr>
            <w:tcW w:w="3184" w:type="dxa"/>
            <w:shd w:val="clear" w:color="000000" w:fill="FFFFFF"/>
            <w:noWrap w:val="0"/>
            <w:vAlign w:val="center"/>
          </w:tcPr>
          <w:p>
            <w:pPr>
              <w:widowControl/>
              <w:spacing w:line="320" w:lineRule="exact"/>
              <w:jc w:val="left"/>
              <w:rPr>
                <w:rFonts w:hint="default" w:eastAsia="仿宋_GB2312" w:cs="Times New Roman"/>
                <w:kern w:val="0"/>
                <w:sz w:val="24"/>
                <w:szCs w:val="24"/>
                <w:lang w:val="en-US" w:eastAsia="zh-CN"/>
              </w:rPr>
            </w:pPr>
            <w:r>
              <w:rPr>
                <w:rFonts w:eastAsia="仿宋_GB2312" w:cs="Times New Roman"/>
                <w:bCs/>
                <w:kern w:val="0"/>
                <w:sz w:val="24"/>
                <w:szCs w:val="24"/>
              </w:rPr>
              <w:t>反映</w:t>
            </w:r>
            <w:r>
              <w:rPr>
                <w:rFonts w:hint="eastAsia" w:eastAsia="仿宋_GB2312" w:cs="Times New Roman"/>
                <w:bCs/>
                <w:kern w:val="0"/>
                <w:sz w:val="24"/>
                <w:szCs w:val="24"/>
                <w:lang w:eastAsia="zh-CN"/>
              </w:rPr>
              <w:t>曲江区2023</w:t>
            </w:r>
            <w:r>
              <w:rPr>
                <w:rFonts w:eastAsia="仿宋_GB2312" w:cs="Times New Roman"/>
                <w:bCs/>
                <w:kern w:val="0"/>
                <w:sz w:val="24"/>
                <w:szCs w:val="24"/>
              </w:rPr>
              <w:t>年</w:t>
            </w:r>
            <w:r>
              <w:rPr>
                <w:rFonts w:hint="eastAsia" w:eastAsia="仿宋_GB2312" w:cs="Times New Roman"/>
                <w:bCs/>
                <w:kern w:val="0"/>
                <w:sz w:val="24"/>
                <w:szCs w:val="24"/>
                <w:lang w:val="en-US" w:eastAsia="zh-CN"/>
              </w:rPr>
              <w:t>曲江区农产品质量安全情况</w:t>
            </w:r>
          </w:p>
        </w:tc>
        <w:tc>
          <w:tcPr>
            <w:tcW w:w="4725" w:type="dxa"/>
            <w:noWrap w:val="0"/>
            <w:vAlign w:val="center"/>
          </w:tcPr>
          <w:p>
            <w:pPr>
              <w:widowControl/>
              <w:numPr>
                <w:ilvl w:val="0"/>
                <w:numId w:val="11"/>
              </w:numPr>
              <w:spacing w:line="320" w:lineRule="exact"/>
              <w:jc w:val="left"/>
              <w:rPr>
                <w:rFonts w:eastAsia="仿宋_GB2312" w:cs="Times New Roman"/>
                <w:kern w:val="0"/>
                <w:sz w:val="24"/>
                <w:szCs w:val="24"/>
              </w:rPr>
            </w:pPr>
            <w:r>
              <w:rPr>
                <w:rFonts w:hint="eastAsia" w:eastAsia="仿宋_GB2312" w:cs="Times New Roman"/>
                <w:bCs/>
                <w:kern w:val="0"/>
                <w:sz w:val="24"/>
                <w:szCs w:val="24"/>
                <w:lang w:eastAsia="zh-CN"/>
              </w:rPr>
              <w:t>2023</w:t>
            </w:r>
            <w:r>
              <w:rPr>
                <w:rFonts w:hint="eastAsia" w:eastAsia="仿宋_GB2312" w:cs="Times New Roman"/>
                <w:bCs/>
                <w:kern w:val="0"/>
                <w:sz w:val="24"/>
                <w:szCs w:val="24"/>
              </w:rPr>
              <w:t>年曲江区未发生重大农产品质量安全事故</w:t>
            </w:r>
            <w:r>
              <w:rPr>
                <w:rFonts w:hint="eastAsia" w:eastAsia="仿宋_GB2312" w:cs="Times New Roman"/>
                <w:bCs/>
                <w:kern w:val="0"/>
                <w:sz w:val="24"/>
                <w:szCs w:val="24"/>
                <w:lang w:eastAsia="zh-CN"/>
              </w:rPr>
              <w:t>，</w:t>
            </w:r>
            <w:r>
              <w:rPr>
                <w:rFonts w:hint="eastAsia" w:eastAsia="仿宋_GB2312" w:cs="Times New Roman"/>
                <w:kern w:val="0"/>
                <w:sz w:val="24"/>
                <w:szCs w:val="24"/>
                <w:lang w:val="en-US" w:eastAsia="zh-CN"/>
              </w:rPr>
              <w:t>得1分；</w:t>
            </w:r>
            <w:r>
              <w:rPr>
                <w:rFonts w:hint="eastAsia" w:eastAsia="仿宋_GB2312" w:cs="Times New Roman"/>
                <w:kern w:val="0"/>
                <w:sz w:val="24"/>
                <w:szCs w:val="24"/>
              </w:rPr>
              <w:t>否则</w:t>
            </w:r>
            <w:r>
              <w:rPr>
                <w:rFonts w:hint="eastAsia" w:eastAsia="仿宋_GB2312" w:cs="Times New Roman"/>
                <w:kern w:val="0"/>
                <w:sz w:val="24"/>
                <w:szCs w:val="24"/>
                <w:lang w:val="en-US" w:eastAsia="zh-CN"/>
              </w:rPr>
              <w:t>不</w:t>
            </w:r>
            <w:r>
              <w:rPr>
                <w:rFonts w:hint="eastAsia" w:eastAsia="仿宋_GB2312" w:cs="Times New Roman"/>
                <w:kern w:val="0"/>
                <w:sz w:val="24"/>
                <w:szCs w:val="24"/>
              </w:rPr>
              <w:t>得分。</w:t>
            </w:r>
          </w:p>
          <w:p>
            <w:pPr>
              <w:widowControl/>
              <w:numPr>
                <w:ilvl w:val="0"/>
                <w:numId w:val="11"/>
              </w:numPr>
              <w:spacing w:line="320" w:lineRule="exact"/>
              <w:jc w:val="left"/>
              <w:rPr>
                <w:rFonts w:eastAsia="仿宋_GB2312" w:cs="Times New Roman"/>
                <w:kern w:val="0"/>
                <w:sz w:val="24"/>
                <w:szCs w:val="24"/>
              </w:rPr>
            </w:pPr>
            <w:r>
              <w:rPr>
                <w:rFonts w:hint="eastAsia" w:eastAsia="仿宋_GB2312" w:cs="Times New Roman"/>
                <w:bCs/>
                <w:kern w:val="0"/>
                <w:sz w:val="24"/>
                <w:szCs w:val="24"/>
              </w:rPr>
              <w:t>屠宰环节</w:t>
            </w:r>
            <w:r>
              <w:rPr>
                <w:rFonts w:hint="eastAsia" w:eastAsia="仿宋_GB2312" w:cs="Times New Roman"/>
                <w:bCs/>
                <w:kern w:val="0"/>
                <w:sz w:val="24"/>
                <w:szCs w:val="24"/>
                <w:lang w:val="en-US" w:eastAsia="zh-CN"/>
              </w:rPr>
              <w:t>和养殖环节</w:t>
            </w:r>
            <w:r>
              <w:rPr>
                <w:rFonts w:hint="eastAsia" w:eastAsia="仿宋_GB2312" w:cs="Times New Roman"/>
                <w:bCs/>
                <w:kern w:val="0"/>
                <w:sz w:val="24"/>
                <w:szCs w:val="24"/>
              </w:rPr>
              <w:t>病死生猪无害化处理率达100%</w:t>
            </w:r>
            <w:r>
              <w:rPr>
                <w:rFonts w:hint="eastAsia" w:eastAsia="仿宋_GB2312" w:cs="Times New Roman"/>
                <w:bCs/>
                <w:kern w:val="0"/>
                <w:sz w:val="24"/>
                <w:szCs w:val="24"/>
                <w:lang w:val="en-US" w:eastAsia="zh-CN"/>
              </w:rPr>
              <w:t>，</w:t>
            </w:r>
            <w:r>
              <w:rPr>
                <w:rFonts w:hint="eastAsia" w:eastAsia="仿宋_GB2312" w:cs="Times New Roman"/>
                <w:bCs/>
                <w:kern w:val="0"/>
                <w:sz w:val="24"/>
                <w:szCs w:val="24"/>
              </w:rPr>
              <w:t>得满分；</w:t>
            </w:r>
            <w:r>
              <w:rPr>
                <w:rFonts w:hint="eastAsia" w:eastAsia="仿宋_GB2312" w:cs="Times New Roman"/>
                <w:kern w:val="0"/>
                <w:sz w:val="24"/>
                <w:szCs w:val="24"/>
              </w:rPr>
              <w:t>否则</w:t>
            </w:r>
            <w:r>
              <w:rPr>
                <w:rFonts w:hint="eastAsia" w:eastAsia="仿宋_GB2312" w:cs="Times New Roman"/>
                <w:kern w:val="0"/>
                <w:sz w:val="24"/>
                <w:szCs w:val="24"/>
                <w:lang w:val="en-US" w:eastAsia="zh-CN"/>
              </w:rPr>
              <w:t>不</w:t>
            </w:r>
            <w:r>
              <w:rPr>
                <w:rFonts w:hint="eastAsia" w:eastAsia="仿宋_GB2312" w:cs="Times New Roman"/>
                <w:kern w:val="0"/>
                <w:sz w:val="24"/>
                <w:szCs w:val="24"/>
              </w:rPr>
              <w:t>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trPr>
        <w:tc>
          <w:tcPr>
            <w:tcW w:w="613"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54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1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9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6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1320" w:type="dxa"/>
            <w:shd w:val="clear" w:color="000000" w:fill="FFFFFF"/>
            <w:noWrap w:val="0"/>
            <w:vAlign w:val="center"/>
          </w:tcPr>
          <w:p>
            <w:pPr>
              <w:widowControl/>
              <w:spacing w:line="320" w:lineRule="exact"/>
              <w:jc w:val="left"/>
              <w:rPr>
                <w:rFonts w:eastAsia="仿宋_GB2312" w:cs="Times New Roman"/>
                <w:bCs/>
                <w:kern w:val="0"/>
                <w:sz w:val="24"/>
                <w:szCs w:val="24"/>
              </w:rPr>
            </w:pPr>
            <w:r>
              <w:rPr>
                <w:rFonts w:eastAsia="仿宋_GB2312" w:cs="Times New Roman"/>
                <w:kern w:val="0"/>
                <w:sz w:val="24"/>
                <w:szCs w:val="24"/>
              </w:rPr>
              <w:t>耕地保护</w:t>
            </w:r>
          </w:p>
        </w:tc>
        <w:tc>
          <w:tcPr>
            <w:tcW w:w="611" w:type="dxa"/>
            <w:shd w:val="clear" w:color="000000" w:fill="FFFFFF"/>
            <w:noWrap w:val="0"/>
            <w:vAlign w:val="center"/>
          </w:tcPr>
          <w:p>
            <w:pPr>
              <w:widowControl/>
              <w:spacing w:line="320" w:lineRule="exact"/>
              <w:jc w:val="center"/>
              <w:rPr>
                <w:rFonts w:eastAsia="仿宋_GB2312" w:cs="Times New Roman"/>
                <w:bCs/>
                <w:kern w:val="0"/>
                <w:sz w:val="24"/>
                <w:szCs w:val="24"/>
              </w:rPr>
            </w:pPr>
            <w:r>
              <w:rPr>
                <w:rFonts w:hint="eastAsia" w:eastAsia="仿宋_GB2312" w:cs="Times New Roman"/>
                <w:kern w:val="0"/>
                <w:sz w:val="24"/>
                <w:szCs w:val="24"/>
                <w:lang w:val="en-US" w:eastAsia="zh-CN"/>
              </w:rPr>
              <w:t>2</w:t>
            </w:r>
          </w:p>
        </w:tc>
        <w:tc>
          <w:tcPr>
            <w:tcW w:w="3184" w:type="dxa"/>
            <w:shd w:val="clear" w:color="000000" w:fill="FFFFFF"/>
            <w:noWrap w:val="0"/>
            <w:vAlign w:val="center"/>
          </w:tcPr>
          <w:p>
            <w:pPr>
              <w:widowControl/>
              <w:spacing w:line="320" w:lineRule="exact"/>
              <w:jc w:val="left"/>
              <w:rPr>
                <w:rFonts w:hint="default" w:eastAsia="仿宋_GB2312" w:cs="Times New Roman"/>
                <w:bCs/>
                <w:kern w:val="0"/>
                <w:sz w:val="24"/>
                <w:szCs w:val="24"/>
                <w:lang w:val="en-US" w:eastAsia="zh-CN"/>
              </w:rPr>
            </w:pPr>
            <w:r>
              <w:rPr>
                <w:rFonts w:eastAsia="仿宋_GB2312" w:cs="Times New Roman"/>
                <w:kern w:val="0"/>
                <w:sz w:val="24"/>
                <w:szCs w:val="24"/>
              </w:rPr>
              <w:t>反映</w:t>
            </w:r>
            <w:r>
              <w:rPr>
                <w:rFonts w:hint="eastAsia" w:eastAsia="仿宋_GB2312" w:cs="Times New Roman"/>
                <w:kern w:val="0"/>
                <w:sz w:val="24"/>
                <w:szCs w:val="24"/>
                <w:lang w:eastAsia="zh-CN"/>
              </w:rPr>
              <w:t>2023</w:t>
            </w:r>
            <w:r>
              <w:rPr>
                <w:rFonts w:eastAsia="仿宋_GB2312" w:cs="Times New Roman"/>
                <w:kern w:val="0"/>
                <w:sz w:val="24"/>
                <w:szCs w:val="24"/>
              </w:rPr>
              <w:t>年</w:t>
            </w:r>
            <w:r>
              <w:rPr>
                <w:rFonts w:hint="eastAsia" w:eastAsia="仿宋_GB2312" w:cs="Times New Roman"/>
                <w:kern w:val="0"/>
                <w:sz w:val="24"/>
                <w:szCs w:val="24"/>
                <w:lang w:eastAsia="zh-CN"/>
              </w:rPr>
              <w:t>曲江区</w:t>
            </w:r>
            <w:r>
              <w:rPr>
                <w:rFonts w:eastAsia="仿宋_GB2312" w:cs="Times New Roman"/>
                <w:kern w:val="0"/>
                <w:sz w:val="24"/>
                <w:szCs w:val="24"/>
              </w:rPr>
              <w:t>耕地保护工作</w:t>
            </w:r>
            <w:r>
              <w:rPr>
                <w:rFonts w:hint="eastAsia" w:eastAsia="仿宋_GB2312" w:cs="Times New Roman"/>
                <w:kern w:val="0"/>
                <w:sz w:val="24"/>
                <w:szCs w:val="24"/>
                <w:lang w:val="en-US" w:eastAsia="zh-CN"/>
              </w:rPr>
              <w:t>成效</w:t>
            </w:r>
          </w:p>
        </w:tc>
        <w:tc>
          <w:tcPr>
            <w:tcW w:w="4725" w:type="dxa"/>
            <w:noWrap w:val="0"/>
            <w:vAlign w:val="center"/>
          </w:tcPr>
          <w:p>
            <w:pPr>
              <w:widowControl/>
              <w:spacing w:line="320" w:lineRule="exact"/>
              <w:jc w:val="left"/>
              <w:rPr>
                <w:rFonts w:eastAsia="仿宋_GB2312" w:cs="Times New Roman"/>
                <w:bCs/>
                <w:kern w:val="0"/>
                <w:sz w:val="24"/>
                <w:szCs w:val="24"/>
              </w:rPr>
            </w:pPr>
            <w:r>
              <w:rPr>
                <w:rFonts w:hint="eastAsia" w:eastAsia="仿宋_GB2312" w:cs="Times New Roman"/>
                <w:kern w:val="0"/>
                <w:sz w:val="24"/>
                <w:szCs w:val="24"/>
                <w:lang w:val="en-US" w:eastAsia="zh-CN"/>
              </w:rPr>
              <w:t>2023年曲江区永久基本农田保护面积达到142330亩，并</w:t>
            </w:r>
            <w:r>
              <w:rPr>
                <w:rFonts w:eastAsia="仿宋_GB2312" w:cs="Times New Roman"/>
                <w:kern w:val="0"/>
                <w:sz w:val="24"/>
                <w:szCs w:val="24"/>
              </w:rPr>
              <w:t>通过韶关市对</w:t>
            </w:r>
            <w:r>
              <w:rPr>
                <w:rFonts w:hint="eastAsia" w:eastAsia="仿宋_GB2312" w:cs="Times New Roman"/>
                <w:kern w:val="0"/>
                <w:sz w:val="24"/>
                <w:szCs w:val="24"/>
                <w:lang w:eastAsia="zh-CN"/>
              </w:rPr>
              <w:t>曲江区</w:t>
            </w:r>
            <w:r>
              <w:rPr>
                <w:rFonts w:eastAsia="仿宋_GB2312" w:cs="Times New Roman"/>
                <w:kern w:val="0"/>
                <w:sz w:val="24"/>
                <w:szCs w:val="24"/>
              </w:rPr>
              <w:t>的年度</w:t>
            </w:r>
            <w:r>
              <w:rPr>
                <w:rFonts w:hint="eastAsia" w:eastAsia="仿宋_GB2312" w:cs="Times New Roman"/>
                <w:kern w:val="0"/>
                <w:sz w:val="24"/>
                <w:szCs w:val="24"/>
              </w:rPr>
              <w:t>耕地保护责任目标考核</w:t>
            </w:r>
            <w:r>
              <w:rPr>
                <w:rFonts w:eastAsia="仿宋_GB2312" w:cs="Times New Roman"/>
                <w:kern w:val="0"/>
                <w:sz w:val="24"/>
                <w:szCs w:val="24"/>
              </w:rPr>
              <w:t>，得</w:t>
            </w:r>
            <w:r>
              <w:rPr>
                <w:rFonts w:hint="eastAsia" w:eastAsia="仿宋_GB2312" w:cs="Times New Roman"/>
                <w:kern w:val="0"/>
                <w:sz w:val="24"/>
                <w:szCs w:val="24"/>
                <w:lang w:val="en-US" w:eastAsia="zh-CN"/>
              </w:rPr>
              <w:t>满</w:t>
            </w:r>
            <w:r>
              <w:rPr>
                <w:rFonts w:eastAsia="仿宋_GB2312" w:cs="Times New Roman"/>
                <w:kern w:val="0"/>
                <w:sz w:val="24"/>
                <w:szCs w:val="24"/>
              </w:rPr>
              <w:t>分，否则不得分。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613"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54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1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9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6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1320" w:type="dxa"/>
            <w:shd w:val="clear" w:color="000000" w:fill="FFFFFF"/>
            <w:noWrap w:val="0"/>
            <w:vAlign w:val="center"/>
          </w:tcPr>
          <w:p>
            <w:pPr>
              <w:widowControl/>
              <w:spacing w:line="320" w:lineRule="exact"/>
              <w:jc w:val="left"/>
              <w:rPr>
                <w:rFonts w:hint="default" w:eastAsia="仿宋_GB2312" w:cs="Times New Roman"/>
                <w:bCs/>
                <w:kern w:val="0"/>
                <w:sz w:val="24"/>
                <w:szCs w:val="24"/>
                <w:lang w:val="en-US" w:eastAsia="zh-CN"/>
              </w:rPr>
            </w:pPr>
            <w:r>
              <w:rPr>
                <w:rFonts w:hint="eastAsia" w:eastAsia="仿宋_GB2312" w:cs="Times New Roman"/>
                <w:bCs/>
                <w:kern w:val="0"/>
                <w:sz w:val="24"/>
                <w:szCs w:val="24"/>
                <w:lang w:val="en-US" w:eastAsia="zh-CN"/>
              </w:rPr>
              <w:t>“四好农村路”建设和养护</w:t>
            </w:r>
          </w:p>
        </w:tc>
        <w:tc>
          <w:tcPr>
            <w:tcW w:w="611" w:type="dxa"/>
            <w:shd w:val="clear" w:color="000000" w:fill="FFFFFF"/>
            <w:noWrap w:val="0"/>
            <w:vAlign w:val="center"/>
          </w:tcPr>
          <w:p>
            <w:pPr>
              <w:widowControl/>
              <w:spacing w:line="320" w:lineRule="exact"/>
              <w:jc w:val="center"/>
              <w:rPr>
                <w:rFonts w:hint="eastAsia" w:eastAsia="仿宋_GB2312" w:cs="Times New Roman"/>
                <w:bCs/>
                <w:kern w:val="0"/>
                <w:sz w:val="24"/>
                <w:szCs w:val="24"/>
                <w:lang w:eastAsia="zh-CN"/>
              </w:rPr>
            </w:pPr>
            <w:r>
              <w:rPr>
                <w:rFonts w:hint="eastAsia" w:eastAsia="仿宋_GB2312" w:cs="Times New Roman"/>
                <w:kern w:val="0"/>
                <w:sz w:val="24"/>
                <w:szCs w:val="24"/>
                <w:lang w:val="en-US" w:eastAsia="zh-CN"/>
              </w:rPr>
              <w:t>4</w:t>
            </w:r>
          </w:p>
        </w:tc>
        <w:tc>
          <w:tcPr>
            <w:tcW w:w="3184" w:type="dxa"/>
            <w:shd w:val="clear" w:color="000000" w:fill="FFFFFF"/>
            <w:noWrap w:val="0"/>
            <w:vAlign w:val="center"/>
          </w:tcPr>
          <w:p>
            <w:pPr>
              <w:widowControl/>
              <w:spacing w:line="320" w:lineRule="exact"/>
              <w:jc w:val="left"/>
              <w:rPr>
                <w:rFonts w:eastAsia="仿宋_GB2312" w:cs="Times New Roman"/>
                <w:bCs/>
                <w:kern w:val="0"/>
                <w:sz w:val="24"/>
                <w:szCs w:val="24"/>
              </w:rPr>
            </w:pPr>
            <w:r>
              <w:rPr>
                <w:rFonts w:eastAsia="仿宋_GB2312" w:cs="Times New Roman"/>
                <w:kern w:val="0"/>
                <w:sz w:val="24"/>
                <w:szCs w:val="24"/>
              </w:rPr>
              <w:t>反映</w:t>
            </w:r>
            <w:r>
              <w:rPr>
                <w:rFonts w:hint="eastAsia" w:eastAsia="仿宋_GB2312" w:cs="Times New Roman"/>
                <w:kern w:val="0"/>
                <w:sz w:val="24"/>
                <w:szCs w:val="24"/>
                <w:lang w:eastAsia="zh-CN"/>
              </w:rPr>
              <w:t>2023</w:t>
            </w:r>
            <w:r>
              <w:rPr>
                <w:rFonts w:eastAsia="仿宋_GB2312" w:cs="Times New Roman"/>
                <w:kern w:val="0"/>
                <w:sz w:val="24"/>
                <w:szCs w:val="24"/>
              </w:rPr>
              <w:t>年</w:t>
            </w:r>
            <w:r>
              <w:rPr>
                <w:rFonts w:hint="eastAsia" w:eastAsia="仿宋_GB2312" w:cs="Times New Roman"/>
                <w:kern w:val="0"/>
                <w:sz w:val="24"/>
                <w:szCs w:val="24"/>
              </w:rPr>
              <w:t>农村公路</w:t>
            </w:r>
            <w:r>
              <w:rPr>
                <w:rFonts w:hint="eastAsia" w:eastAsia="仿宋_GB2312" w:cs="Times New Roman"/>
                <w:kern w:val="0"/>
                <w:sz w:val="24"/>
                <w:szCs w:val="24"/>
                <w:lang w:val="en-US" w:eastAsia="zh-CN"/>
              </w:rPr>
              <w:t>建设和</w:t>
            </w:r>
            <w:r>
              <w:rPr>
                <w:rFonts w:hint="eastAsia" w:eastAsia="仿宋_GB2312" w:cs="Times New Roman"/>
                <w:kern w:val="0"/>
                <w:sz w:val="24"/>
                <w:szCs w:val="24"/>
              </w:rPr>
              <w:t>养护</w:t>
            </w:r>
            <w:r>
              <w:rPr>
                <w:rFonts w:eastAsia="仿宋_GB2312" w:cs="Times New Roman"/>
                <w:kern w:val="0"/>
                <w:sz w:val="24"/>
                <w:szCs w:val="24"/>
              </w:rPr>
              <w:t>效果</w:t>
            </w:r>
          </w:p>
        </w:tc>
        <w:tc>
          <w:tcPr>
            <w:tcW w:w="4725" w:type="dxa"/>
            <w:noWrap w:val="0"/>
            <w:vAlign w:val="center"/>
          </w:tcPr>
          <w:p>
            <w:pPr>
              <w:widowControl/>
              <w:numPr>
                <w:ilvl w:val="0"/>
                <w:numId w:val="12"/>
              </w:numPr>
              <w:spacing w:line="320" w:lineRule="exact"/>
              <w:jc w:val="left"/>
              <w:rPr>
                <w:rFonts w:hint="default" w:eastAsia="仿宋_GB2312" w:cs="Times New Roman"/>
                <w:bCs/>
                <w:kern w:val="0"/>
                <w:sz w:val="24"/>
                <w:szCs w:val="24"/>
                <w:lang w:val="en-US" w:eastAsia="zh-CN"/>
              </w:rPr>
            </w:pPr>
            <w:r>
              <w:rPr>
                <w:rFonts w:hint="eastAsia" w:eastAsia="仿宋_GB2312" w:cs="Times New Roman"/>
                <w:bCs/>
                <w:kern w:val="0"/>
                <w:sz w:val="24"/>
                <w:szCs w:val="24"/>
                <w:lang w:eastAsia="zh-CN"/>
              </w:rPr>
              <w:t>2023</w:t>
            </w:r>
            <w:r>
              <w:rPr>
                <w:rFonts w:hint="eastAsia" w:eastAsia="仿宋_GB2312" w:cs="Times New Roman"/>
                <w:bCs/>
                <w:kern w:val="0"/>
                <w:sz w:val="24"/>
                <w:szCs w:val="24"/>
              </w:rPr>
              <w:t>年</w:t>
            </w:r>
            <w:r>
              <w:rPr>
                <w:rFonts w:hint="eastAsia" w:eastAsia="仿宋_GB2312" w:cs="Times New Roman"/>
                <w:bCs/>
                <w:kern w:val="0"/>
                <w:sz w:val="24"/>
                <w:szCs w:val="24"/>
                <w:lang w:val="en-US" w:eastAsia="zh-CN"/>
              </w:rPr>
              <w:t>曲江区完成农村公路新改建27公里，得2分；否则按完成的比例得分。</w:t>
            </w:r>
          </w:p>
          <w:p>
            <w:pPr>
              <w:widowControl/>
              <w:numPr>
                <w:ilvl w:val="0"/>
                <w:numId w:val="12"/>
              </w:numPr>
              <w:spacing w:line="320" w:lineRule="exact"/>
              <w:jc w:val="left"/>
              <w:rPr>
                <w:rFonts w:hint="default" w:eastAsia="仿宋_GB2312" w:cs="Times New Roman"/>
                <w:bCs/>
                <w:kern w:val="0"/>
                <w:sz w:val="24"/>
                <w:szCs w:val="24"/>
                <w:lang w:val="en-US" w:eastAsia="zh-CN"/>
              </w:rPr>
            </w:pPr>
            <w:r>
              <w:rPr>
                <w:rFonts w:hint="default" w:eastAsia="仿宋_GB2312" w:cs="Times New Roman"/>
                <w:bCs/>
                <w:kern w:val="0"/>
                <w:sz w:val="24"/>
                <w:szCs w:val="24"/>
                <w:lang w:val="en-US" w:eastAsia="zh-CN"/>
              </w:rPr>
              <w:t>完成农村公路危桥改造4座，得1分；否则按完成的比例得分。</w:t>
            </w:r>
          </w:p>
          <w:p>
            <w:pPr>
              <w:widowControl/>
              <w:numPr>
                <w:ilvl w:val="0"/>
                <w:numId w:val="12"/>
              </w:numPr>
              <w:spacing w:line="320" w:lineRule="exact"/>
              <w:jc w:val="left"/>
              <w:rPr>
                <w:rFonts w:hint="default" w:eastAsia="仿宋_GB2312" w:cs="Times New Roman"/>
                <w:bCs/>
                <w:kern w:val="0"/>
                <w:sz w:val="24"/>
                <w:szCs w:val="24"/>
                <w:lang w:val="en-US" w:eastAsia="zh-CN"/>
              </w:rPr>
            </w:pPr>
            <w:r>
              <w:rPr>
                <w:rFonts w:hint="eastAsia" w:eastAsia="仿宋_GB2312" w:cs="Times New Roman"/>
                <w:bCs/>
                <w:kern w:val="0"/>
                <w:sz w:val="24"/>
                <w:szCs w:val="24"/>
                <w:lang w:eastAsia="zh-CN"/>
              </w:rPr>
              <w:t>2023</w:t>
            </w:r>
            <w:r>
              <w:rPr>
                <w:rFonts w:hint="eastAsia" w:eastAsia="仿宋_GB2312" w:cs="Times New Roman"/>
                <w:bCs/>
                <w:kern w:val="0"/>
                <w:sz w:val="24"/>
                <w:szCs w:val="24"/>
              </w:rPr>
              <w:t>年</w:t>
            </w:r>
            <w:r>
              <w:rPr>
                <w:rFonts w:hint="eastAsia" w:eastAsia="仿宋_GB2312" w:cs="Times New Roman"/>
                <w:bCs/>
                <w:kern w:val="0"/>
                <w:sz w:val="24"/>
                <w:szCs w:val="24"/>
                <w:lang w:val="en-US" w:eastAsia="zh-CN"/>
              </w:rPr>
              <w:t>曲江区</w:t>
            </w:r>
            <w:r>
              <w:rPr>
                <w:rFonts w:hint="eastAsia" w:eastAsia="仿宋_GB2312" w:cs="Times New Roman"/>
                <w:kern w:val="0"/>
                <w:sz w:val="24"/>
                <w:szCs w:val="24"/>
              </w:rPr>
              <w:t>农村公路列养率</w:t>
            </w:r>
            <w:r>
              <w:rPr>
                <w:rFonts w:hint="eastAsia" w:eastAsia="仿宋_GB2312" w:cs="Times New Roman"/>
                <w:kern w:val="0"/>
                <w:sz w:val="24"/>
                <w:szCs w:val="24"/>
                <w:lang w:val="en-US" w:eastAsia="zh-CN"/>
              </w:rPr>
              <w:t>达</w:t>
            </w:r>
            <w:r>
              <w:rPr>
                <w:rFonts w:hint="eastAsia" w:eastAsia="仿宋_GB2312" w:cs="Times New Roman"/>
                <w:kern w:val="0"/>
                <w:sz w:val="24"/>
                <w:szCs w:val="24"/>
              </w:rPr>
              <w:t>100%</w:t>
            </w:r>
            <w:r>
              <w:rPr>
                <w:rFonts w:hint="eastAsia" w:eastAsia="仿宋_GB2312" w:cs="Times New Roman"/>
                <w:kern w:val="0"/>
                <w:sz w:val="24"/>
                <w:szCs w:val="24"/>
                <w:lang w:eastAsia="zh-CN"/>
              </w:rPr>
              <w:t>，</w:t>
            </w:r>
            <w:r>
              <w:rPr>
                <w:rFonts w:hint="eastAsia" w:eastAsia="仿宋_GB2312" w:cs="Times New Roman"/>
                <w:kern w:val="0"/>
                <w:sz w:val="24"/>
                <w:szCs w:val="24"/>
                <w:lang w:val="en-US" w:eastAsia="zh-CN"/>
              </w:rPr>
              <w:t>得1分；否则，按完成比例得分。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613"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54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1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9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6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1320" w:type="dxa"/>
            <w:shd w:val="clear" w:color="000000" w:fill="FFFFFF"/>
            <w:noWrap w:val="0"/>
            <w:vAlign w:val="center"/>
          </w:tcPr>
          <w:p>
            <w:pPr>
              <w:widowControl/>
              <w:spacing w:line="320" w:lineRule="exact"/>
              <w:jc w:val="left"/>
              <w:rPr>
                <w:rFonts w:hint="default" w:eastAsia="仿宋_GB2312" w:cs="Times New Roman"/>
                <w:bCs/>
                <w:kern w:val="0"/>
                <w:sz w:val="24"/>
                <w:szCs w:val="24"/>
                <w:lang w:val="en-US" w:eastAsia="zh-CN"/>
              </w:rPr>
            </w:pPr>
            <w:r>
              <w:rPr>
                <w:rFonts w:hint="eastAsia" w:eastAsia="仿宋_GB2312" w:cs="Times New Roman"/>
                <w:kern w:val="0"/>
                <w:sz w:val="24"/>
                <w:szCs w:val="24"/>
                <w:lang w:val="en-US" w:eastAsia="zh-CN"/>
              </w:rPr>
              <w:t>动植物疫病防控</w:t>
            </w:r>
          </w:p>
        </w:tc>
        <w:tc>
          <w:tcPr>
            <w:tcW w:w="611" w:type="dxa"/>
            <w:shd w:val="clear" w:color="000000" w:fill="FFFFFF"/>
            <w:noWrap w:val="0"/>
            <w:vAlign w:val="center"/>
          </w:tcPr>
          <w:p>
            <w:pPr>
              <w:widowControl/>
              <w:spacing w:line="320" w:lineRule="exact"/>
              <w:jc w:val="center"/>
              <w:rPr>
                <w:rFonts w:hint="eastAsia" w:eastAsia="仿宋_GB2312" w:cs="Times New Roman"/>
                <w:bCs/>
                <w:kern w:val="0"/>
                <w:sz w:val="24"/>
                <w:szCs w:val="24"/>
                <w:lang w:eastAsia="zh-CN"/>
              </w:rPr>
            </w:pPr>
            <w:r>
              <w:rPr>
                <w:rFonts w:hint="eastAsia" w:eastAsia="仿宋_GB2312" w:cs="Times New Roman"/>
                <w:kern w:val="0"/>
                <w:sz w:val="24"/>
                <w:szCs w:val="24"/>
                <w:lang w:val="en-US" w:eastAsia="zh-CN"/>
              </w:rPr>
              <w:t>2</w:t>
            </w:r>
          </w:p>
        </w:tc>
        <w:tc>
          <w:tcPr>
            <w:tcW w:w="3184" w:type="dxa"/>
            <w:shd w:val="clear" w:color="000000" w:fill="FFFFFF"/>
            <w:noWrap w:val="0"/>
            <w:vAlign w:val="center"/>
          </w:tcPr>
          <w:p>
            <w:pPr>
              <w:widowControl/>
              <w:spacing w:line="320" w:lineRule="exact"/>
              <w:rPr>
                <w:rFonts w:hint="eastAsia" w:eastAsia="仿宋_GB2312" w:cs="Times New Roman"/>
                <w:bCs/>
                <w:kern w:val="0"/>
                <w:sz w:val="24"/>
                <w:szCs w:val="24"/>
                <w:lang w:eastAsia="zh-CN"/>
              </w:rPr>
            </w:pPr>
            <w:r>
              <w:rPr>
                <w:rFonts w:hint="eastAsia" w:eastAsia="仿宋_GB2312" w:cs="Times New Roman"/>
                <w:kern w:val="0"/>
                <w:sz w:val="24"/>
                <w:szCs w:val="24"/>
              </w:rPr>
              <w:t>反映</w:t>
            </w:r>
            <w:r>
              <w:rPr>
                <w:rFonts w:hint="eastAsia" w:eastAsia="仿宋_GB2312" w:cs="Times New Roman"/>
                <w:kern w:val="0"/>
                <w:sz w:val="24"/>
                <w:szCs w:val="24"/>
                <w:lang w:eastAsia="zh-CN"/>
              </w:rPr>
              <w:t>2023</w:t>
            </w:r>
            <w:r>
              <w:rPr>
                <w:rFonts w:hint="eastAsia" w:eastAsia="仿宋_GB2312" w:cs="Times New Roman"/>
                <w:kern w:val="0"/>
                <w:sz w:val="24"/>
                <w:szCs w:val="24"/>
              </w:rPr>
              <w:t>年</w:t>
            </w:r>
            <w:r>
              <w:rPr>
                <w:rFonts w:hint="eastAsia" w:eastAsia="仿宋_GB2312" w:cs="Times New Roman"/>
                <w:kern w:val="0"/>
                <w:sz w:val="24"/>
                <w:szCs w:val="24"/>
                <w:lang w:eastAsia="zh-CN"/>
              </w:rPr>
              <w:t>曲江区</w:t>
            </w:r>
            <w:r>
              <w:rPr>
                <w:rFonts w:hint="eastAsia" w:eastAsia="仿宋_GB2312" w:cs="Times New Roman"/>
                <w:kern w:val="0"/>
                <w:sz w:val="24"/>
                <w:szCs w:val="24"/>
                <w:lang w:val="en-US" w:eastAsia="zh-CN"/>
              </w:rPr>
              <w:t>动植物疫病防控</w:t>
            </w:r>
            <w:r>
              <w:rPr>
                <w:rFonts w:hint="eastAsia" w:eastAsia="仿宋_GB2312" w:cs="Times New Roman"/>
                <w:kern w:val="0"/>
                <w:sz w:val="24"/>
                <w:szCs w:val="24"/>
              </w:rPr>
              <w:t>工作</w:t>
            </w:r>
            <w:r>
              <w:rPr>
                <w:rFonts w:hint="eastAsia" w:eastAsia="仿宋_GB2312" w:cs="Times New Roman"/>
                <w:kern w:val="0"/>
                <w:sz w:val="24"/>
                <w:szCs w:val="24"/>
                <w:lang w:val="en-US" w:eastAsia="zh-CN"/>
              </w:rPr>
              <w:t>成效</w:t>
            </w:r>
          </w:p>
        </w:tc>
        <w:tc>
          <w:tcPr>
            <w:tcW w:w="4725" w:type="dxa"/>
            <w:noWrap w:val="0"/>
            <w:vAlign w:val="center"/>
          </w:tcPr>
          <w:p>
            <w:pPr>
              <w:widowControl/>
              <w:numPr>
                <w:ilvl w:val="0"/>
                <w:numId w:val="13"/>
              </w:numPr>
              <w:spacing w:line="320" w:lineRule="exact"/>
              <w:jc w:val="left"/>
              <w:rPr>
                <w:rFonts w:eastAsia="仿宋_GB2312" w:cs="Times New Roman"/>
                <w:bCs/>
                <w:kern w:val="0"/>
                <w:sz w:val="24"/>
                <w:szCs w:val="24"/>
              </w:rPr>
            </w:pPr>
            <w:r>
              <w:rPr>
                <w:rFonts w:hint="eastAsia" w:eastAsia="仿宋_GB2312" w:cs="Times New Roman"/>
                <w:bCs/>
                <w:kern w:val="0"/>
                <w:sz w:val="24"/>
                <w:szCs w:val="24"/>
                <w:lang w:eastAsia="zh-CN"/>
              </w:rPr>
              <w:t>2023年曲江区强制免疫病种应免畜禽的免疫密度90%以上，平均免疫抗体合格率达到70%，不发生大规模随意抛弃病死猪事件，重大动物疫情依法处置率</w:t>
            </w:r>
            <w:r>
              <w:rPr>
                <w:rFonts w:hint="eastAsia" w:eastAsia="仿宋_GB2312" w:cs="Times New Roman"/>
                <w:bCs/>
                <w:kern w:val="0"/>
                <w:sz w:val="24"/>
                <w:szCs w:val="24"/>
                <w:lang w:val="en-US" w:eastAsia="zh-CN"/>
              </w:rPr>
              <w:t>100%，得1分，</w:t>
            </w:r>
            <w:r>
              <w:rPr>
                <w:rFonts w:hint="eastAsia" w:eastAsia="仿宋_GB2312" w:cs="Times New Roman"/>
                <w:bCs/>
                <w:kern w:val="0"/>
                <w:sz w:val="24"/>
                <w:szCs w:val="24"/>
                <w:lang w:eastAsia="zh-CN"/>
              </w:rPr>
              <w:t>否则酌情扣分。</w:t>
            </w:r>
          </w:p>
          <w:p>
            <w:pPr>
              <w:widowControl/>
              <w:numPr>
                <w:ilvl w:val="0"/>
                <w:numId w:val="13"/>
              </w:numPr>
              <w:spacing w:line="320" w:lineRule="exact"/>
              <w:jc w:val="left"/>
              <w:rPr>
                <w:rFonts w:eastAsia="仿宋_GB2312" w:cs="Times New Roman"/>
                <w:bCs/>
                <w:kern w:val="0"/>
                <w:sz w:val="24"/>
                <w:szCs w:val="24"/>
              </w:rPr>
            </w:pPr>
            <w:r>
              <w:rPr>
                <w:rFonts w:hint="eastAsia" w:eastAsia="仿宋_GB2312" w:cs="Times New Roman"/>
                <w:bCs/>
                <w:kern w:val="0"/>
                <w:sz w:val="24"/>
                <w:szCs w:val="24"/>
                <w:lang w:eastAsia="zh-CN"/>
              </w:rPr>
              <w:t>农作物重大病虫害不暴发成灾，重大植物疫情不恶性蔓延，得</w:t>
            </w:r>
            <w:r>
              <w:rPr>
                <w:rFonts w:hint="eastAsia" w:eastAsia="仿宋_GB2312" w:cs="Times New Roman"/>
                <w:bCs/>
                <w:kern w:val="0"/>
                <w:sz w:val="24"/>
                <w:szCs w:val="24"/>
                <w:lang w:val="en-US" w:eastAsia="zh-CN"/>
              </w:rPr>
              <w:t>1</w:t>
            </w:r>
            <w:r>
              <w:rPr>
                <w:rFonts w:hint="eastAsia" w:eastAsia="仿宋_GB2312" w:cs="Times New Roman"/>
                <w:bCs/>
                <w:kern w:val="0"/>
                <w:sz w:val="24"/>
                <w:szCs w:val="24"/>
                <w:lang w:eastAsia="zh-CN"/>
              </w:rPr>
              <w:t>分；否则酌情扣分。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613"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54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1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9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6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1320" w:type="dxa"/>
            <w:shd w:val="clear" w:color="000000" w:fill="FFFFFF"/>
            <w:noWrap w:val="0"/>
            <w:vAlign w:val="center"/>
          </w:tcPr>
          <w:p>
            <w:pPr>
              <w:widowControl/>
              <w:spacing w:line="320" w:lineRule="exact"/>
              <w:jc w:val="left"/>
              <w:rPr>
                <w:rFonts w:hint="default" w:eastAsia="仿宋_GB2312" w:cs="Times New Roman"/>
                <w:kern w:val="0"/>
                <w:sz w:val="24"/>
                <w:szCs w:val="24"/>
                <w:lang w:val="en-US" w:eastAsia="zh-CN"/>
              </w:rPr>
            </w:pPr>
            <w:r>
              <w:rPr>
                <w:rFonts w:eastAsia="仿宋_GB2312" w:cs="Times New Roman"/>
                <w:kern w:val="0"/>
                <w:sz w:val="24"/>
                <w:szCs w:val="24"/>
              </w:rPr>
              <w:t>林业有害生物</w:t>
            </w:r>
            <w:r>
              <w:rPr>
                <w:rFonts w:hint="eastAsia" w:eastAsia="仿宋_GB2312" w:cs="Times New Roman"/>
                <w:kern w:val="0"/>
                <w:sz w:val="24"/>
                <w:szCs w:val="24"/>
                <w:lang w:val="en-US" w:eastAsia="zh-CN"/>
              </w:rPr>
              <w:t>防治效果</w:t>
            </w:r>
          </w:p>
        </w:tc>
        <w:tc>
          <w:tcPr>
            <w:tcW w:w="611" w:type="dxa"/>
            <w:shd w:val="clear" w:color="000000" w:fill="FFFFFF"/>
            <w:noWrap w:val="0"/>
            <w:vAlign w:val="center"/>
          </w:tcPr>
          <w:p>
            <w:pPr>
              <w:widowControl/>
              <w:spacing w:line="320" w:lineRule="exact"/>
              <w:jc w:val="center"/>
              <w:rPr>
                <w:rFonts w:hint="eastAsia" w:eastAsia="仿宋_GB2312" w:cs="Times New Roman"/>
                <w:bCs/>
                <w:kern w:val="0"/>
                <w:sz w:val="24"/>
                <w:szCs w:val="24"/>
                <w:lang w:eastAsia="zh-CN"/>
              </w:rPr>
            </w:pPr>
            <w:r>
              <w:rPr>
                <w:rFonts w:hint="eastAsia" w:eastAsia="仿宋_GB2312" w:cs="Times New Roman"/>
                <w:bCs/>
                <w:kern w:val="0"/>
                <w:sz w:val="24"/>
                <w:szCs w:val="24"/>
                <w:lang w:val="en-US" w:eastAsia="zh-CN"/>
              </w:rPr>
              <w:t>2</w:t>
            </w:r>
          </w:p>
        </w:tc>
        <w:tc>
          <w:tcPr>
            <w:tcW w:w="3184" w:type="dxa"/>
            <w:shd w:val="clear" w:color="000000" w:fill="FFFFFF"/>
            <w:noWrap w:val="0"/>
            <w:vAlign w:val="center"/>
          </w:tcPr>
          <w:p>
            <w:pPr>
              <w:widowControl/>
              <w:spacing w:line="320" w:lineRule="exact"/>
              <w:jc w:val="left"/>
              <w:rPr>
                <w:rFonts w:hint="default" w:eastAsia="仿宋_GB2312" w:cs="Times New Roman"/>
                <w:kern w:val="0"/>
                <w:sz w:val="24"/>
                <w:szCs w:val="24"/>
                <w:lang w:val="en-US" w:eastAsia="zh-CN"/>
              </w:rPr>
            </w:pPr>
            <w:r>
              <w:rPr>
                <w:rFonts w:hint="eastAsia" w:eastAsia="仿宋_GB2312" w:cs="Times New Roman"/>
                <w:kern w:val="0"/>
                <w:sz w:val="24"/>
                <w:szCs w:val="24"/>
              </w:rPr>
              <w:t>反映</w:t>
            </w:r>
            <w:r>
              <w:rPr>
                <w:rFonts w:hint="eastAsia" w:eastAsia="仿宋_GB2312" w:cs="Times New Roman"/>
                <w:kern w:val="0"/>
                <w:sz w:val="24"/>
                <w:szCs w:val="24"/>
                <w:lang w:eastAsia="zh-CN"/>
              </w:rPr>
              <w:t>2023</w:t>
            </w:r>
            <w:r>
              <w:rPr>
                <w:rFonts w:hint="eastAsia" w:eastAsia="仿宋_GB2312" w:cs="Times New Roman"/>
                <w:kern w:val="0"/>
                <w:sz w:val="24"/>
                <w:szCs w:val="24"/>
              </w:rPr>
              <w:t>年</w:t>
            </w:r>
            <w:r>
              <w:rPr>
                <w:rFonts w:hint="eastAsia" w:eastAsia="仿宋_GB2312" w:cs="Times New Roman"/>
                <w:kern w:val="0"/>
                <w:sz w:val="24"/>
                <w:szCs w:val="24"/>
                <w:lang w:eastAsia="zh-CN"/>
              </w:rPr>
              <w:t>曲江区</w:t>
            </w:r>
            <w:r>
              <w:rPr>
                <w:rFonts w:hint="eastAsia" w:eastAsia="仿宋_GB2312" w:cs="Times New Roman"/>
                <w:kern w:val="0"/>
                <w:sz w:val="24"/>
                <w:szCs w:val="24"/>
              </w:rPr>
              <w:t>林业有害生物防治</w:t>
            </w:r>
            <w:r>
              <w:rPr>
                <w:rFonts w:hint="eastAsia" w:eastAsia="仿宋_GB2312" w:cs="Times New Roman"/>
                <w:kern w:val="0"/>
                <w:sz w:val="24"/>
                <w:szCs w:val="24"/>
                <w:lang w:val="en-US" w:eastAsia="zh-CN"/>
              </w:rPr>
              <w:t>工作成效</w:t>
            </w:r>
          </w:p>
        </w:tc>
        <w:tc>
          <w:tcPr>
            <w:tcW w:w="4725" w:type="dxa"/>
            <w:noWrap w:val="0"/>
            <w:vAlign w:val="center"/>
          </w:tcPr>
          <w:p>
            <w:pPr>
              <w:widowControl/>
              <w:spacing w:line="320" w:lineRule="exact"/>
              <w:jc w:val="left"/>
              <w:rPr>
                <w:rFonts w:eastAsia="仿宋_GB2312" w:cs="Times New Roman"/>
                <w:bCs/>
                <w:kern w:val="0"/>
                <w:sz w:val="24"/>
                <w:szCs w:val="24"/>
              </w:rPr>
            </w:pPr>
            <w:r>
              <w:rPr>
                <w:rFonts w:hint="eastAsia" w:eastAsia="仿宋_GB2312" w:cs="Times New Roman"/>
                <w:bCs/>
                <w:kern w:val="0"/>
                <w:sz w:val="24"/>
                <w:szCs w:val="24"/>
                <w:lang w:eastAsia="zh-CN"/>
              </w:rPr>
              <w:t>2023</w:t>
            </w:r>
            <w:r>
              <w:rPr>
                <w:rFonts w:hint="eastAsia" w:eastAsia="仿宋_GB2312" w:cs="Times New Roman"/>
                <w:bCs/>
                <w:kern w:val="0"/>
                <w:sz w:val="24"/>
                <w:szCs w:val="24"/>
              </w:rPr>
              <w:t>年</w:t>
            </w:r>
            <w:r>
              <w:rPr>
                <w:rFonts w:hint="eastAsia" w:eastAsia="仿宋_GB2312" w:cs="Times New Roman"/>
                <w:bCs/>
                <w:kern w:val="0"/>
                <w:sz w:val="24"/>
                <w:szCs w:val="24"/>
                <w:lang w:eastAsia="zh-CN"/>
              </w:rPr>
              <w:t>曲江区</w:t>
            </w:r>
            <w:r>
              <w:rPr>
                <w:rFonts w:hint="eastAsia" w:eastAsia="仿宋_GB2312" w:cs="Times New Roman"/>
                <w:bCs/>
                <w:kern w:val="0"/>
                <w:sz w:val="24"/>
                <w:szCs w:val="24"/>
              </w:rPr>
              <w:t>主要林业有害生物成灾率控制在</w:t>
            </w:r>
            <w:r>
              <w:rPr>
                <w:rFonts w:hint="eastAsia" w:eastAsia="仿宋_GB2312" w:cs="Times New Roman"/>
                <w:bCs/>
                <w:kern w:val="0"/>
                <w:sz w:val="24"/>
                <w:szCs w:val="24"/>
                <w:lang w:val="en-US" w:eastAsia="zh-CN"/>
              </w:rPr>
              <w:t>20.32</w:t>
            </w:r>
            <w:r>
              <w:rPr>
                <w:rFonts w:hint="eastAsia" w:eastAsia="仿宋_GB2312" w:cs="Times New Roman"/>
                <w:bCs/>
                <w:kern w:val="0"/>
                <w:sz w:val="24"/>
                <w:szCs w:val="24"/>
              </w:rPr>
              <w:t>‰以下</w:t>
            </w:r>
            <w:r>
              <w:rPr>
                <w:rFonts w:hint="eastAsia" w:eastAsia="仿宋_GB2312" w:cs="Times New Roman"/>
                <w:bCs/>
                <w:kern w:val="0"/>
                <w:sz w:val="24"/>
                <w:szCs w:val="24"/>
                <w:lang w:eastAsia="zh-CN"/>
              </w:rPr>
              <w:t>，</w:t>
            </w:r>
            <w:r>
              <w:rPr>
                <w:rFonts w:hint="eastAsia" w:eastAsia="仿宋_GB2312" w:cs="Times New Roman"/>
                <w:bCs/>
                <w:kern w:val="0"/>
                <w:sz w:val="24"/>
                <w:szCs w:val="24"/>
              </w:rPr>
              <w:t>得</w:t>
            </w:r>
            <w:r>
              <w:rPr>
                <w:rFonts w:hint="eastAsia" w:eastAsia="仿宋_GB2312" w:cs="Times New Roman"/>
                <w:bCs/>
                <w:kern w:val="0"/>
                <w:sz w:val="24"/>
                <w:szCs w:val="24"/>
                <w:lang w:val="en-US" w:eastAsia="zh-CN"/>
              </w:rPr>
              <w:t>满</w:t>
            </w:r>
            <w:r>
              <w:rPr>
                <w:rFonts w:hint="eastAsia" w:eastAsia="仿宋_GB2312" w:cs="Times New Roman"/>
                <w:bCs/>
                <w:kern w:val="0"/>
                <w:sz w:val="24"/>
                <w:szCs w:val="24"/>
              </w:rPr>
              <w:t>分</w:t>
            </w:r>
            <w:r>
              <w:rPr>
                <w:rFonts w:hint="eastAsia" w:eastAsia="仿宋_GB2312" w:cs="Times New Roman"/>
                <w:bCs/>
                <w:kern w:val="0"/>
                <w:sz w:val="24"/>
                <w:szCs w:val="24"/>
                <w:lang w:eastAsia="zh-CN"/>
              </w:rPr>
              <w:t>；</w:t>
            </w:r>
            <w:r>
              <w:rPr>
                <w:rFonts w:hint="eastAsia" w:eastAsia="仿宋_GB2312" w:cs="Times New Roman"/>
                <w:bCs/>
                <w:kern w:val="0"/>
                <w:sz w:val="24"/>
                <w:szCs w:val="24"/>
              </w:rPr>
              <w:t>否则酌情扣分。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13"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54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1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945" w:type="dxa"/>
            <w:shd w:val="clear" w:color="auto" w:fill="auto"/>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可持续发展</w:t>
            </w:r>
          </w:p>
        </w:tc>
        <w:tc>
          <w:tcPr>
            <w:tcW w:w="660" w:type="dxa"/>
            <w:shd w:val="clear" w:color="auto" w:fill="auto"/>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5</w:t>
            </w:r>
          </w:p>
        </w:tc>
        <w:tc>
          <w:tcPr>
            <w:tcW w:w="1320" w:type="dxa"/>
            <w:shd w:val="clear" w:color="000000" w:fill="FFFFFF"/>
            <w:noWrap w:val="0"/>
            <w:vAlign w:val="center"/>
          </w:tcPr>
          <w:p>
            <w:pPr>
              <w:widowControl/>
              <w:spacing w:line="320" w:lineRule="exact"/>
              <w:jc w:val="left"/>
              <w:rPr>
                <w:rFonts w:eastAsia="仿宋_GB2312" w:cs="Times New Roman"/>
                <w:color w:val="auto"/>
                <w:kern w:val="0"/>
                <w:sz w:val="24"/>
                <w:szCs w:val="24"/>
              </w:rPr>
            </w:pPr>
            <w:r>
              <w:rPr>
                <w:rFonts w:hint="eastAsia" w:eastAsia="仿宋_GB2312" w:cs="Times New Roman"/>
                <w:kern w:val="0"/>
                <w:sz w:val="24"/>
                <w:szCs w:val="24"/>
                <w:lang w:val="en-US" w:eastAsia="zh-CN"/>
              </w:rPr>
              <w:t>项目效果的</w:t>
            </w:r>
            <w:r>
              <w:rPr>
                <w:rFonts w:eastAsia="仿宋_GB2312" w:cs="Times New Roman"/>
                <w:kern w:val="0"/>
                <w:sz w:val="24"/>
                <w:szCs w:val="24"/>
              </w:rPr>
              <w:t>可持续性</w:t>
            </w:r>
          </w:p>
        </w:tc>
        <w:tc>
          <w:tcPr>
            <w:tcW w:w="611" w:type="dxa"/>
            <w:shd w:val="clear" w:color="000000" w:fill="FFFFFF"/>
            <w:noWrap w:val="0"/>
            <w:vAlign w:val="center"/>
          </w:tcPr>
          <w:p>
            <w:pPr>
              <w:widowControl/>
              <w:spacing w:line="320" w:lineRule="exact"/>
              <w:jc w:val="center"/>
              <w:rPr>
                <w:rFonts w:hint="eastAsia" w:eastAsia="仿宋_GB2312" w:cs="Times New Roman"/>
                <w:color w:val="auto"/>
                <w:kern w:val="0"/>
                <w:sz w:val="24"/>
                <w:szCs w:val="24"/>
                <w:lang w:eastAsia="zh-CN"/>
              </w:rPr>
            </w:pPr>
            <w:r>
              <w:rPr>
                <w:rFonts w:hint="eastAsia" w:eastAsia="仿宋_GB2312" w:cs="Times New Roman"/>
                <w:color w:val="auto"/>
                <w:kern w:val="0"/>
                <w:sz w:val="24"/>
                <w:szCs w:val="24"/>
                <w:lang w:val="en-US" w:eastAsia="zh-CN"/>
              </w:rPr>
              <w:t>5</w:t>
            </w:r>
          </w:p>
        </w:tc>
        <w:tc>
          <w:tcPr>
            <w:tcW w:w="3184" w:type="dxa"/>
            <w:shd w:val="clear" w:color="000000" w:fill="FFFFFF"/>
            <w:noWrap w:val="0"/>
            <w:vAlign w:val="center"/>
          </w:tcPr>
          <w:p>
            <w:pPr>
              <w:widowControl/>
              <w:spacing w:line="320" w:lineRule="exact"/>
              <w:jc w:val="left"/>
              <w:rPr>
                <w:rFonts w:eastAsia="仿宋_GB2312" w:cs="Times New Roman"/>
                <w:color w:val="auto"/>
                <w:kern w:val="0"/>
                <w:sz w:val="24"/>
                <w:szCs w:val="24"/>
              </w:rPr>
            </w:pPr>
            <w:r>
              <w:rPr>
                <w:rFonts w:eastAsia="仿宋_GB2312" w:cs="Times New Roman"/>
                <w:kern w:val="0"/>
                <w:sz w:val="24"/>
                <w:szCs w:val="24"/>
              </w:rPr>
              <w:t>反映</w:t>
            </w:r>
            <w:r>
              <w:rPr>
                <w:rFonts w:hint="eastAsia" w:eastAsia="仿宋_GB2312" w:cs="Times New Roman"/>
                <w:kern w:val="0"/>
                <w:sz w:val="24"/>
                <w:szCs w:val="24"/>
                <w:lang w:eastAsia="zh-CN"/>
              </w:rPr>
              <w:t>曲江区</w:t>
            </w:r>
            <w:r>
              <w:rPr>
                <w:rFonts w:eastAsia="仿宋_GB2312" w:cs="Times New Roman"/>
                <w:kern w:val="0"/>
                <w:sz w:val="24"/>
                <w:szCs w:val="24"/>
              </w:rPr>
              <w:t>涉农资金</w:t>
            </w:r>
            <w:r>
              <w:rPr>
                <w:rFonts w:hint="eastAsia" w:eastAsia="仿宋_GB2312" w:cs="Times New Roman"/>
                <w:kern w:val="0"/>
                <w:sz w:val="24"/>
                <w:szCs w:val="24"/>
                <w:lang w:val="en-US" w:eastAsia="zh-CN"/>
              </w:rPr>
              <w:t>项目实施效果</w:t>
            </w:r>
            <w:r>
              <w:rPr>
                <w:rFonts w:eastAsia="仿宋_GB2312" w:cs="Times New Roman"/>
                <w:kern w:val="0"/>
                <w:sz w:val="24"/>
                <w:szCs w:val="24"/>
              </w:rPr>
              <w:t>的可持续情况</w:t>
            </w:r>
          </w:p>
        </w:tc>
        <w:tc>
          <w:tcPr>
            <w:tcW w:w="4725" w:type="dxa"/>
            <w:noWrap w:val="0"/>
            <w:vAlign w:val="center"/>
          </w:tcPr>
          <w:p>
            <w:pPr>
              <w:widowControl/>
              <w:spacing w:line="320" w:lineRule="exact"/>
              <w:jc w:val="left"/>
              <w:rPr>
                <w:rFonts w:eastAsia="仿宋_GB2312" w:cs="Times New Roman"/>
                <w:color w:val="auto"/>
                <w:kern w:val="0"/>
                <w:sz w:val="24"/>
                <w:szCs w:val="24"/>
              </w:rPr>
            </w:pPr>
            <w:r>
              <w:rPr>
                <w:rFonts w:hint="eastAsia" w:eastAsia="仿宋_GB2312" w:cs="Times New Roman"/>
                <w:kern w:val="0"/>
                <w:sz w:val="24"/>
                <w:szCs w:val="24"/>
                <w:lang w:eastAsia="zh-CN"/>
              </w:rPr>
              <w:t>2023</w:t>
            </w:r>
            <w:r>
              <w:rPr>
                <w:rFonts w:hint="eastAsia" w:eastAsia="仿宋_GB2312" w:cs="Times New Roman"/>
                <w:kern w:val="0"/>
                <w:sz w:val="24"/>
                <w:szCs w:val="24"/>
              </w:rPr>
              <w:t>年</w:t>
            </w:r>
            <w:r>
              <w:rPr>
                <w:rFonts w:hint="eastAsia" w:eastAsia="仿宋_GB2312" w:cs="Times New Roman"/>
                <w:kern w:val="0"/>
                <w:sz w:val="24"/>
                <w:szCs w:val="24"/>
                <w:lang w:eastAsia="zh-CN"/>
              </w:rPr>
              <w:t>曲江区</w:t>
            </w:r>
            <w:r>
              <w:rPr>
                <w:rFonts w:eastAsia="仿宋_GB2312" w:cs="Times New Roman"/>
                <w:kern w:val="0"/>
                <w:sz w:val="24"/>
                <w:szCs w:val="24"/>
              </w:rPr>
              <w:t>涉农资金</w:t>
            </w:r>
            <w:r>
              <w:rPr>
                <w:rFonts w:hint="eastAsia" w:eastAsia="仿宋_GB2312" w:cs="Times New Roman"/>
                <w:kern w:val="0"/>
                <w:sz w:val="24"/>
                <w:szCs w:val="24"/>
                <w:lang w:val="en-US" w:eastAsia="zh-CN"/>
              </w:rPr>
              <w:t>项目实施效果的</w:t>
            </w:r>
            <w:r>
              <w:rPr>
                <w:rFonts w:eastAsia="仿宋_GB2312" w:cs="Times New Roman"/>
                <w:kern w:val="0"/>
                <w:sz w:val="24"/>
                <w:szCs w:val="24"/>
              </w:rPr>
              <w:t>可持续性良好，得</w:t>
            </w:r>
            <w:r>
              <w:rPr>
                <w:rFonts w:hint="eastAsia" w:eastAsia="仿宋_GB2312" w:cs="Times New Roman"/>
                <w:kern w:val="0"/>
                <w:sz w:val="24"/>
                <w:szCs w:val="24"/>
                <w:lang w:val="en-US" w:eastAsia="zh-CN"/>
              </w:rPr>
              <w:t>满</w:t>
            </w:r>
            <w:r>
              <w:rPr>
                <w:rFonts w:eastAsia="仿宋_GB2312" w:cs="Times New Roman"/>
                <w:kern w:val="0"/>
                <w:sz w:val="24"/>
                <w:szCs w:val="24"/>
              </w:rPr>
              <w:t>分。</w:t>
            </w:r>
            <w:r>
              <w:rPr>
                <w:rFonts w:hint="eastAsia" w:eastAsia="仿宋_GB2312" w:cs="Times New Roman"/>
                <w:kern w:val="0"/>
                <w:sz w:val="24"/>
                <w:szCs w:val="24"/>
                <w:lang w:eastAsia="zh-CN"/>
              </w:rPr>
              <w:t>否则</w:t>
            </w:r>
            <w:r>
              <w:rPr>
                <w:rFonts w:hint="eastAsia" w:eastAsia="仿宋_GB2312" w:cs="Times New Roman"/>
                <w:kern w:val="0"/>
                <w:sz w:val="24"/>
                <w:szCs w:val="24"/>
              </w:rPr>
              <w:t>酌情</w:t>
            </w:r>
            <w:r>
              <w:rPr>
                <w:rFonts w:eastAsia="仿宋_GB2312" w:cs="Times New Roman"/>
                <w:kern w:val="0"/>
                <w:sz w:val="24"/>
                <w:szCs w:val="24"/>
              </w:rPr>
              <w:t>扣分。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613"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540" w:type="dxa"/>
            <w:shd w:val="clear" w:color="auto" w:fill="auto"/>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公平性</w:t>
            </w:r>
          </w:p>
        </w:tc>
        <w:tc>
          <w:tcPr>
            <w:tcW w:w="615" w:type="dxa"/>
            <w:shd w:val="clear" w:color="auto" w:fill="auto"/>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5</w:t>
            </w:r>
          </w:p>
        </w:tc>
        <w:tc>
          <w:tcPr>
            <w:tcW w:w="945" w:type="dxa"/>
            <w:shd w:val="clear" w:color="auto" w:fill="auto"/>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满意度</w:t>
            </w:r>
          </w:p>
        </w:tc>
        <w:tc>
          <w:tcPr>
            <w:tcW w:w="660" w:type="dxa"/>
            <w:shd w:val="clear" w:color="auto" w:fill="auto"/>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5</w:t>
            </w:r>
          </w:p>
        </w:tc>
        <w:tc>
          <w:tcPr>
            <w:tcW w:w="1320" w:type="dxa"/>
            <w:shd w:val="clear" w:color="auto" w:fill="auto"/>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服务对象满意度</w:t>
            </w:r>
          </w:p>
        </w:tc>
        <w:tc>
          <w:tcPr>
            <w:tcW w:w="611" w:type="dxa"/>
            <w:shd w:val="clear" w:color="000000" w:fill="FFFFFF"/>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5</w:t>
            </w:r>
          </w:p>
        </w:tc>
        <w:tc>
          <w:tcPr>
            <w:tcW w:w="3184" w:type="dxa"/>
            <w:shd w:val="clear" w:color="000000" w:fill="FFFFFF"/>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反映</w:t>
            </w:r>
            <w:r>
              <w:rPr>
                <w:rFonts w:hint="eastAsia" w:eastAsia="仿宋_GB2312" w:cs="Times New Roman"/>
                <w:kern w:val="0"/>
                <w:sz w:val="24"/>
                <w:szCs w:val="24"/>
                <w:lang w:eastAsia="zh-CN"/>
              </w:rPr>
              <w:t>曲江区</w:t>
            </w:r>
            <w:r>
              <w:rPr>
                <w:rFonts w:hint="eastAsia" w:eastAsia="仿宋_GB2312" w:cs="Times New Roman"/>
                <w:kern w:val="0"/>
                <w:sz w:val="24"/>
                <w:szCs w:val="24"/>
                <w:lang w:val="en-US" w:eastAsia="zh-CN"/>
              </w:rPr>
              <w:t>农村居民</w:t>
            </w:r>
            <w:r>
              <w:rPr>
                <w:rFonts w:eastAsia="仿宋_GB2312" w:cs="Times New Roman"/>
                <w:kern w:val="0"/>
                <w:sz w:val="24"/>
                <w:szCs w:val="24"/>
              </w:rPr>
              <w:t>对涉农资金统筹整合的满意情况</w:t>
            </w:r>
          </w:p>
        </w:tc>
        <w:tc>
          <w:tcPr>
            <w:tcW w:w="4725"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以满意度85％为标准，每差1％扣0.2分，扣完为止。</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5338" w:type="dxa"/>
            <w:gridSpan w:val="7"/>
            <w:shd w:val="clear" w:color="auto" w:fill="auto"/>
            <w:noWrap w:val="0"/>
            <w:vAlign w:val="center"/>
          </w:tcPr>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总        分</w:t>
            </w:r>
          </w:p>
        </w:tc>
        <w:tc>
          <w:tcPr>
            <w:tcW w:w="611" w:type="dxa"/>
            <w:shd w:val="clear" w:color="000000" w:fill="FFFFFF"/>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100</w:t>
            </w:r>
          </w:p>
        </w:tc>
        <w:tc>
          <w:tcPr>
            <w:tcW w:w="3184" w:type="dxa"/>
            <w:shd w:val="clear" w:color="000000" w:fill="FFFFFF"/>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　</w:t>
            </w:r>
          </w:p>
        </w:tc>
        <w:tc>
          <w:tcPr>
            <w:tcW w:w="4725"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　</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95.57</w:t>
            </w:r>
          </w:p>
        </w:tc>
      </w:tr>
    </w:tbl>
    <w:p>
      <w:pPr>
        <w:rPr>
          <w:b/>
          <w:bCs/>
          <w:sz w:val="32"/>
          <w:szCs w:val="32"/>
        </w:rPr>
      </w:pP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1"/>
    <w:family w:val="moder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ntury Schoolbook">
    <w:altName w:val="FreeSerif"/>
    <w:panose1 w:val="02040604050505020304"/>
    <w:charset w:val="00"/>
    <w:family w:val="roman"/>
    <w:pitch w:val="default"/>
    <w:sig w:usb0="00000000" w:usb1="00000000" w:usb2="00000000" w:usb3="00000000" w:csb0="2000009F" w:csb1="DFD70000"/>
  </w:font>
  <w:font w:name="仿宋_GB2312">
    <w:altName w:val="方正仿宋_GBK"/>
    <w:panose1 w:val="02010609030101010101"/>
    <w:charset w:val="86"/>
    <w:family w:val="modern"/>
    <w:pitch w:val="default"/>
    <w:sig w:usb0="00000000" w:usb1="00000000" w:usb2="00000000" w:usb3="00000000" w:csb0="00040000" w:csb1="00000000"/>
  </w:font>
  <w:font w:name="Cambria Math">
    <w:altName w:val="DejaVu Math TeX Gyre"/>
    <w:panose1 w:val="02040503050406030204"/>
    <w:charset w:val="00"/>
    <w:family w:val="roman"/>
    <w:pitch w:val="default"/>
    <w:sig w:usb0="00000000" w:usb1="00000000" w:usb2="02000000" w:usb3="00000000" w:csb0="2000019F" w:csb1="00000000"/>
  </w:font>
  <w:font w:name="Calibri Light">
    <w:altName w:val="DejaVu Sans"/>
    <w:panose1 w:val="020F0302020204030204"/>
    <w:charset w:val="00"/>
    <w:family w:val="swiss"/>
    <w:pitch w:val="default"/>
    <w:sig w:usb0="00000000" w:usb1="00000000"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00" w:usb3="00000000" w:csb0="00000000" w:csb1="00000000"/>
  </w:font>
  <w:font w:name="楷体">
    <w:altName w:val="方正楷体_GBK"/>
    <w:panose1 w:val="02010609060101010101"/>
    <w:charset w:val="86"/>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FreeSerif">
    <w:panose1 w:val="02020603050405020304"/>
    <w:charset w:val="00"/>
    <w:family w:val="auto"/>
    <w:pitch w:val="default"/>
    <w:sig w:usb0="E59FAFFF" w:usb1="C200FDFF" w:usb2="43501B29" w:usb3="04000043" w:csb0="600101FF" w:csb1="FFFF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33215914"/>
      <w:showingPlcHdr/>
    </w:sdtPr>
    <w:sdtContent>
      <w:p>
        <w:pPr>
          <w:pStyle w:val="7"/>
          <w:jc w:val="center"/>
        </w:pPr>
      </w:p>
    </w:sdtContent>
  </w:sdt>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7974571"/>
      <w:docPartObj>
        <w:docPartGallery w:val="autotext"/>
      </w:docPartObj>
    </w:sdtPr>
    <w:sdtContent>
      <w:p>
        <w:pPr>
          <w:pStyle w:val="7"/>
          <w:jc w:val="center"/>
        </w:pPr>
        <w:r>
          <w:fldChar w:fldCharType="begin"/>
        </w:r>
        <w:r>
          <w:instrText xml:space="preserve">PAGE   \* MERGEFORMAT</w:instrText>
        </w:r>
        <w:r>
          <w:fldChar w:fldCharType="separate"/>
        </w:r>
        <w:r>
          <w:rPr>
            <w:lang w:val="zh-CN"/>
          </w:rPr>
          <w:t>2</w:t>
        </w:r>
        <w:r>
          <w:fldChar w:fldCharType="end"/>
        </w:r>
      </w:p>
    </w:sdtContent>
  </w:sdt>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ascii="方正小标宋简体" w:eastAsia="方正小标宋简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jc w:val="center"/>
                            <w:rPr>
                              <w:rFonts w:ascii="仿宋_GB2312" w:hAnsi="仿宋_GB2312" w:eastAsia="仿宋_GB2312" w:cs="仿宋_GB2312"/>
                              <w:szCs w:val="21"/>
                            </w:rPr>
                          </w:pPr>
                          <w:r>
                            <w:rPr>
                              <w:rFonts w:hint="eastAsia" w:ascii="仿宋_GB2312" w:hAnsi="仿宋_GB2312" w:eastAsia="仿宋_GB2312" w:cs="仿宋_GB2312"/>
                              <w:szCs w:val="21"/>
                            </w:rPr>
                            <w:fldChar w:fldCharType="begin"/>
                          </w:r>
                          <w:r>
                            <w:rPr>
                              <w:rFonts w:hint="eastAsia" w:ascii="仿宋_GB2312" w:hAnsi="仿宋_GB2312" w:eastAsia="仿宋_GB2312" w:cs="仿宋_GB2312"/>
                              <w:szCs w:val="21"/>
                            </w:rPr>
                            <w:instrText xml:space="preserve">PAGE   \* MERGEFORMAT</w:instrText>
                          </w:r>
                          <w:r>
                            <w:rPr>
                              <w:rFonts w:hint="eastAsia" w:ascii="仿宋_GB2312" w:hAnsi="仿宋_GB2312" w:eastAsia="仿宋_GB2312" w:cs="仿宋_GB2312"/>
                              <w:szCs w:val="21"/>
                            </w:rPr>
                            <w:fldChar w:fldCharType="separate"/>
                          </w:r>
                          <w:r>
                            <w:rPr>
                              <w:rFonts w:ascii="仿宋_GB2312" w:hAnsi="仿宋_GB2312" w:eastAsia="仿宋_GB2312" w:cs="仿宋_GB2312"/>
                              <w:szCs w:val="21"/>
                              <w:lang w:val="zh-CN"/>
                            </w:rPr>
                            <w:t>7</w:t>
                          </w:r>
                          <w:r>
                            <w:rPr>
                              <w:rFonts w:hint="eastAsia" w:ascii="仿宋_GB2312" w:hAnsi="仿宋_GB2312" w:eastAsia="仿宋_GB2312" w:cs="仿宋_GB2312"/>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WAAAAZHJzL1BLAQIUABQA&#10;AAAIAIdO4kDOqXm5zwAAAAUBAAAPAAAAAAAAAAEAIAAAADgAAABkcnMvZG93bnJldi54bWxQSwEC&#10;FAAUAAAACACHTuJAD7Ob464BAABLAwAADgAAAAAAAAABACAAAAA0AQAAZHJzL2Uyb0RvYy54bWxQ&#10;SwUGAAAAAAYABgBZAQAAVAUAAAAA&#10;">
              <v:fill on="f" focussize="0,0"/>
              <v:stroke on="f"/>
              <v:imagedata o:title=""/>
              <o:lock v:ext="edit" aspectratio="f"/>
              <v:textbox inset="0mm,0mm,0mm,0mm" style="mso-fit-shape-to-text:t;">
                <w:txbxContent>
                  <w:p>
                    <w:pPr>
                      <w:jc w:val="center"/>
                      <w:rPr>
                        <w:rFonts w:ascii="仿宋_GB2312" w:hAnsi="仿宋_GB2312" w:eastAsia="仿宋_GB2312" w:cs="仿宋_GB2312"/>
                        <w:szCs w:val="21"/>
                      </w:rPr>
                    </w:pPr>
                    <w:r>
                      <w:rPr>
                        <w:rFonts w:hint="eastAsia" w:ascii="仿宋_GB2312" w:hAnsi="仿宋_GB2312" w:eastAsia="仿宋_GB2312" w:cs="仿宋_GB2312"/>
                        <w:szCs w:val="21"/>
                      </w:rPr>
                      <w:fldChar w:fldCharType="begin"/>
                    </w:r>
                    <w:r>
                      <w:rPr>
                        <w:rFonts w:hint="eastAsia" w:ascii="仿宋_GB2312" w:hAnsi="仿宋_GB2312" w:eastAsia="仿宋_GB2312" w:cs="仿宋_GB2312"/>
                        <w:szCs w:val="21"/>
                      </w:rPr>
                      <w:instrText xml:space="preserve">PAGE   \* MERGEFORMAT</w:instrText>
                    </w:r>
                    <w:r>
                      <w:rPr>
                        <w:rFonts w:hint="eastAsia" w:ascii="仿宋_GB2312" w:hAnsi="仿宋_GB2312" w:eastAsia="仿宋_GB2312" w:cs="仿宋_GB2312"/>
                        <w:szCs w:val="21"/>
                      </w:rPr>
                      <w:fldChar w:fldCharType="separate"/>
                    </w:r>
                    <w:r>
                      <w:rPr>
                        <w:rFonts w:ascii="仿宋_GB2312" w:hAnsi="仿宋_GB2312" w:eastAsia="仿宋_GB2312" w:cs="仿宋_GB2312"/>
                        <w:szCs w:val="21"/>
                        <w:lang w:val="zh-CN"/>
                      </w:rPr>
                      <w:t>7</w:t>
                    </w:r>
                    <w:r>
                      <w:rPr>
                        <w:rFonts w:hint="eastAsia" w:ascii="仿宋_GB2312" w:hAnsi="仿宋_GB2312" w:eastAsia="仿宋_GB2312" w:cs="仿宋_GB2312"/>
                        <w:szCs w:val="21"/>
                      </w:rPr>
                      <w:fldChar w:fldCharType="end"/>
                    </w:r>
                  </w:p>
                </w:txbxContent>
              </v:textbox>
            </v:shape>
          </w:pict>
        </mc:Fallback>
      </mc:AlternateContent>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368C1"/>
    <w:multiLevelType w:val="singleLevel"/>
    <w:tmpl w:val="95F368C1"/>
    <w:lvl w:ilvl="0" w:tentative="0">
      <w:start w:val="1"/>
      <w:numFmt w:val="decimal"/>
      <w:suff w:val="space"/>
      <w:lvlText w:val="%1."/>
      <w:lvlJc w:val="left"/>
    </w:lvl>
  </w:abstractNum>
  <w:abstractNum w:abstractNumId="1">
    <w:nsid w:val="9A5026AA"/>
    <w:multiLevelType w:val="singleLevel"/>
    <w:tmpl w:val="9A5026AA"/>
    <w:lvl w:ilvl="0" w:tentative="0">
      <w:start w:val="1"/>
      <w:numFmt w:val="decimal"/>
      <w:lvlText w:val="%1."/>
      <w:lvlJc w:val="left"/>
      <w:pPr>
        <w:tabs>
          <w:tab w:val="left" w:pos="312"/>
        </w:tabs>
      </w:pPr>
    </w:lvl>
  </w:abstractNum>
  <w:abstractNum w:abstractNumId="2">
    <w:nsid w:val="A81A944E"/>
    <w:multiLevelType w:val="singleLevel"/>
    <w:tmpl w:val="A81A944E"/>
    <w:lvl w:ilvl="0" w:tentative="0">
      <w:start w:val="1"/>
      <w:numFmt w:val="decimal"/>
      <w:suff w:val="space"/>
      <w:lvlText w:val="%1."/>
      <w:lvlJc w:val="left"/>
    </w:lvl>
  </w:abstractNum>
  <w:abstractNum w:abstractNumId="3">
    <w:nsid w:val="D509CFDA"/>
    <w:multiLevelType w:val="singleLevel"/>
    <w:tmpl w:val="D509CFDA"/>
    <w:lvl w:ilvl="0" w:tentative="0">
      <w:start w:val="1"/>
      <w:numFmt w:val="decimal"/>
      <w:lvlText w:val="%1."/>
      <w:lvlJc w:val="left"/>
      <w:pPr>
        <w:tabs>
          <w:tab w:val="left" w:pos="312"/>
        </w:tabs>
      </w:pPr>
    </w:lvl>
  </w:abstractNum>
  <w:abstractNum w:abstractNumId="4">
    <w:nsid w:val="EB7ADF80"/>
    <w:multiLevelType w:val="singleLevel"/>
    <w:tmpl w:val="EB7ADF80"/>
    <w:lvl w:ilvl="0" w:tentative="0">
      <w:start w:val="1"/>
      <w:numFmt w:val="decimal"/>
      <w:lvlText w:val="%1."/>
      <w:lvlJc w:val="left"/>
      <w:pPr>
        <w:tabs>
          <w:tab w:val="left" w:pos="312"/>
        </w:tabs>
      </w:pPr>
    </w:lvl>
  </w:abstractNum>
  <w:abstractNum w:abstractNumId="5">
    <w:nsid w:val="ECF65EAE"/>
    <w:multiLevelType w:val="singleLevel"/>
    <w:tmpl w:val="ECF65EAE"/>
    <w:lvl w:ilvl="0" w:tentative="0">
      <w:start w:val="4"/>
      <w:numFmt w:val="chineseCounting"/>
      <w:suff w:val="nothing"/>
      <w:lvlText w:val="（%1）"/>
      <w:lvlJc w:val="left"/>
      <w:rPr>
        <w:rFonts w:hint="eastAsia"/>
      </w:rPr>
    </w:lvl>
  </w:abstractNum>
  <w:abstractNum w:abstractNumId="6">
    <w:nsid w:val="F5AE0C9A"/>
    <w:multiLevelType w:val="singleLevel"/>
    <w:tmpl w:val="F5AE0C9A"/>
    <w:lvl w:ilvl="0" w:tentative="0">
      <w:start w:val="1"/>
      <w:numFmt w:val="decimal"/>
      <w:suff w:val="space"/>
      <w:lvlText w:val="%1."/>
      <w:lvlJc w:val="left"/>
    </w:lvl>
  </w:abstractNum>
  <w:abstractNum w:abstractNumId="7">
    <w:nsid w:val="FD96B597"/>
    <w:multiLevelType w:val="singleLevel"/>
    <w:tmpl w:val="FD96B597"/>
    <w:lvl w:ilvl="0" w:tentative="0">
      <w:start w:val="5"/>
      <w:numFmt w:val="decimal"/>
      <w:suff w:val="nothing"/>
      <w:lvlText w:val="（%1）"/>
      <w:lvlJc w:val="left"/>
    </w:lvl>
  </w:abstractNum>
  <w:abstractNum w:abstractNumId="8">
    <w:nsid w:val="27571F26"/>
    <w:multiLevelType w:val="singleLevel"/>
    <w:tmpl w:val="27571F26"/>
    <w:lvl w:ilvl="0" w:tentative="0">
      <w:start w:val="1"/>
      <w:numFmt w:val="decimal"/>
      <w:suff w:val="space"/>
      <w:lvlText w:val="%1."/>
      <w:lvlJc w:val="left"/>
    </w:lvl>
  </w:abstractNum>
  <w:abstractNum w:abstractNumId="9">
    <w:nsid w:val="35D1916D"/>
    <w:multiLevelType w:val="singleLevel"/>
    <w:tmpl w:val="35D1916D"/>
    <w:lvl w:ilvl="0" w:tentative="0">
      <w:start w:val="1"/>
      <w:numFmt w:val="decimal"/>
      <w:suff w:val="space"/>
      <w:lvlText w:val="%1."/>
      <w:lvlJc w:val="left"/>
    </w:lvl>
  </w:abstractNum>
  <w:abstractNum w:abstractNumId="10">
    <w:nsid w:val="51A70E24"/>
    <w:multiLevelType w:val="singleLevel"/>
    <w:tmpl w:val="51A70E24"/>
    <w:lvl w:ilvl="0" w:tentative="0">
      <w:start w:val="1"/>
      <w:numFmt w:val="decimal"/>
      <w:suff w:val="space"/>
      <w:lvlText w:val="%1."/>
      <w:lvlJc w:val="left"/>
    </w:lvl>
  </w:abstractNum>
  <w:abstractNum w:abstractNumId="11">
    <w:nsid w:val="66B7CA18"/>
    <w:multiLevelType w:val="singleLevel"/>
    <w:tmpl w:val="66B7CA18"/>
    <w:lvl w:ilvl="0" w:tentative="0">
      <w:start w:val="1"/>
      <w:numFmt w:val="chineseCounting"/>
      <w:suff w:val="nothing"/>
      <w:lvlText w:val="（%1）"/>
      <w:lvlJc w:val="left"/>
      <w:rPr>
        <w:rFonts w:hint="eastAsia"/>
      </w:rPr>
    </w:lvl>
  </w:abstractNum>
  <w:abstractNum w:abstractNumId="12">
    <w:nsid w:val="75DFB8FC"/>
    <w:multiLevelType w:val="singleLevel"/>
    <w:tmpl w:val="75DFB8FC"/>
    <w:lvl w:ilvl="0" w:tentative="0">
      <w:start w:val="1"/>
      <w:numFmt w:val="decimal"/>
      <w:suff w:val="space"/>
      <w:lvlText w:val="%1."/>
      <w:lvlJc w:val="left"/>
    </w:lvl>
  </w:abstractNum>
  <w:num w:numId="1">
    <w:abstractNumId w:val="7"/>
  </w:num>
  <w:num w:numId="2">
    <w:abstractNumId w:val="11"/>
  </w:num>
  <w:num w:numId="3">
    <w:abstractNumId w:val="5"/>
  </w:num>
  <w:num w:numId="4">
    <w:abstractNumId w:val="3"/>
  </w:num>
  <w:num w:numId="5">
    <w:abstractNumId w:val="1"/>
  </w:num>
  <w:num w:numId="6">
    <w:abstractNumId w:val="4"/>
  </w:num>
  <w:num w:numId="7">
    <w:abstractNumId w:val="2"/>
  </w:num>
  <w:num w:numId="8">
    <w:abstractNumId w:val="10"/>
  </w:num>
  <w:num w:numId="9">
    <w:abstractNumId w:val="8"/>
  </w:num>
  <w:num w:numId="10">
    <w:abstractNumId w:val="9"/>
  </w:num>
  <w:num w:numId="11">
    <w:abstractNumId w:val="6"/>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jYzUzMWQ4OWI0YzBkYjYzMDRhZTY5ZjZkYmFmYTgifQ=="/>
  </w:docVars>
  <w:rsids>
    <w:rsidRoot w:val="61A12E25"/>
    <w:rsid w:val="000035C7"/>
    <w:rsid w:val="000368FB"/>
    <w:rsid w:val="00056B6A"/>
    <w:rsid w:val="0007369C"/>
    <w:rsid w:val="00085A70"/>
    <w:rsid w:val="0009639B"/>
    <w:rsid w:val="000D015C"/>
    <w:rsid w:val="000E2B9E"/>
    <w:rsid w:val="000F5161"/>
    <w:rsid w:val="00102C71"/>
    <w:rsid w:val="001256FB"/>
    <w:rsid w:val="0014229E"/>
    <w:rsid w:val="001B2F13"/>
    <w:rsid w:val="001B4A51"/>
    <w:rsid w:val="001C0715"/>
    <w:rsid w:val="001C7946"/>
    <w:rsid w:val="001D0392"/>
    <w:rsid w:val="001D1D3C"/>
    <w:rsid w:val="001E481D"/>
    <w:rsid w:val="001E6209"/>
    <w:rsid w:val="001F50C4"/>
    <w:rsid w:val="001F693A"/>
    <w:rsid w:val="00225137"/>
    <w:rsid w:val="00240EE0"/>
    <w:rsid w:val="002544D9"/>
    <w:rsid w:val="0026692A"/>
    <w:rsid w:val="002950D1"/>
    <w:rsid w:val="002B4B82"/>
    <w:rsid w:val="002B4BBE"/>
    <w:rsid w:val="00304A50"/>
    <w:rsid w:val="00326DBC"/>
    <w:rsid w:val="00332A3E"/>
    <w:rsid w:val="00337540"/>
    <w:rsid w:val="0034319F"/>
    <w:rsid w:val="003837AB"/>
    <w:rsid w:val="003D4810"/>
    <w:rsid w:val="003E2663"/>
    <w:rsid w:val="003F6000"/>
    <w:rsid w:val="00403280"/>
    <w:rsid w:val="00417FCD"/>
    <w:rsid w:val="00427B6B"/>
    <w:rsid w:val="00434996"/>
    <w:rsid w:val="00442317"/>
    <w:rsid w:val="0044440A"/>
    <w:rsid w:val="004A7E1A"/>
    <w:rsid w:val="004D06FC"/>
    <w:rsid w:val="004D3DDC"/>
    <w:rsid w:val="004E41BE"/>
    <w:rsid w:val="004F1679"/>
    <w:rsid w:val="005017FB"/>
    <w:rsid w:val="00511E7A"/>
    <w:rsid w:val="00540D01"/>
    <w:rsid w:val="00544E73"/>
    <w:rsid w:val="005513A3"/>
    <w:rsid w:val="00554433"/>
    <w:rsid w:val="005663FA"/>
    <w:rsid w:val="00583132"/>
    <w:rsid w:val="006053FF"/>
    <w:rsid w:val="006227B4"/>
    <w:rsid w:val="00651E2C"/>
    <w:rsid w:val="00673D4A"/>
    <w:rsid w:val="00687BDA"/>
    <w:rsid w:val="006E1271"/>
    <w:rsid w:val="007027C9"/>
    <w:rsid w:val="0074073A"/>
    <w:rsid w:val="00743930"/>
    <w:rsid w:val="00766BA0"/>
    <w:rsid w:val="00773A09"/>
    <w:rsid w:val="007B0DC4"/>
    <w:rsid w:val="007B216F"/>
    <w:rsid w:val="008044AA"/>
    <w:rsid w:val="008239E5"/>
    <w:rsid w:val="00824F6D"/>
    <w:rsid w:val="00825D6E"/>
    <w:rsid w:val="00825DFB"/>
    <w:rsid w:val="00835970"/>
    <w:rsid w:val="00846C5F"/>
    <w:rsid w:val="00847A81"/>
    <w:rsid w:val="0085155E"/>
    <w:rsid w:val="00854855"/>
    <w:rsid w:val="00860786"/>
    <w:rsid w:val="00865D80"/>
    <w:rsid w:val="00884EDD"/>
    <w:rsid w:val="00892660"/>
    <w:rsid w:val="008A134B"/>
    <w:rsid w:val="008B0323"/>
    <w:rsid w:val="008B50A4"/>
    <w:rsid w:val="008B63E6"/>
    <w:rsid w:val="008C048A"/>
    <w:rsid w:val="008E3C39"/>
    <w:rsid w:val="00901B03"/>
    <w:rsid w:val="00906CA0"/>
    <w:rsid w:val="00930770"/>
    <w:rsid w:val="009930E0"/>
    <w:rsid w:val="009A00CA"/>
    <w:rsid w:val="009B03DA"/>
    <w:rsid w:val="009C74F6"/>
    <w:rsid w:val="009F5F22"/>
    <w:rsid w:val="00A23BA7"/>
    <w:rsid w:val="00A37A40"/>
    <w:rsid w:val="00A448E9"/>
    <w:rsid w:val="00A866EB"/>
    <w:rsid w:val="00AB783E"/>
    <w:rsid w:val="00AF5D4E"/>
    <w:rsid w:val="00B157C0"/>
    <w:rsid w:val="00B6318C"/>
    <w:rsid w:val="00B671FE"/>
    <w:rsid w:val="00B81E28"/>
    <w:rsid w:val="00BA3E7F"/>
    <w:rsid w:val="00BC595B"/>
    <w:rsid w:val="00BE0391"/>
    <w:rsid w:val="00BE0EDF"/>
    <w:rsid w:val="00BE57BD"/>
    <w:rsid w:val="00BF660A"/>
    <w:rsid w:val="00C02E17"/>
    <w:rsid w:val="00C143EC"/>
    <w:rsid w:val="00C25C02"/>
    <w:rsid w:val="00C26F99"/>
    <w:rsid w:val="00C30E8D"/>
    <w:rsid w:val="00C33343"/>
    <w:rsid w:val="00C36D12"/>
    <w:rsid w:val="00C51E18"/>
    <w:rsid w:val="00C922B0"/>
    <w:rsid w:val="00CC4177"/>
    <w:rsid w:val="00CC57B0"/>
    <w:rsid w:val="00D105BD"/>
    <w:rsid w:val="00D20666"/>
    <w:rsid w:val="00D3490A"/>
    <w:rsid w:val="00D44438"/>
    <w:rsid w:val="00D57FC2"/>
    <w:rsid w:val="00D61176"/>
    <w:rsid w:val="00D65495"/>
    <w:rsid w:val="00D839C0"/>
    <w:rsid w:val="00D94357"/>
    <w:rsid w:val="00DB1522"/>
    <w:rsid w:val="00DB3336"/>
    <w:rsid w:val="00DB5A54"/>
    <w:rsid w:val="00DC4B16"/>
    <w:rsid w:val="00DF300C"/>
    <w:rsid w:val="00E06A2E"/>
    <w:rsid w:val="00E16367"/>
    <w:rsid w:val="00E30299"/>
    <w:rsid w:val="00E35C52"/>
    <w:rsid w:val="00E37AA5"/>
    <w:rsid w:val="00E45475"/>
    <w:rsid w:val="00E56D05"/>
    <w:rsid w:val="00E63D98"/>
    <w:rsid w:val="00E90AE2"/>
    <w:rsid w:val="00EA4686"/>
    <w:rsid w:val="00F17550"/>
    <w:rsid w:val="00F523E3"/>
    <w:rsid w:val="00F5252D"/>
    <w:rsid w:val="00F67ACA"/>
    <w:rsid w:val="00F74847"/>
    <w:rsid w:val="00F8282E"/>
    <w:rsid w:val="00F832F8"/>
    <w:rsid w:val="00F919DA"/>
    <w:rsid w:val="00F93715"/>
    <w:rsid w:val="00F9726F"/>
    <w:rsid w:val="00F97FB8"/>
    <w:rsid w:val="00FA7629"/>
    <w:rsid w:val="00FB0335"/>
    <w:rsid w:val="00FD01D6"/>
    <w:rsid w:val="00FF69A5"/>
    <w:rsid w:val="019041D0"/>
    <w:rsid w:val="029A3B71"/>
    <w:rsid w:val="0396424D"/>
    <w:rsid w:val="04334E5B"/>
    <w:rsid w:val="045107EA"/>
    <w:rsid w:val="04A2797C"/>
    <w:rsid w:val="05481E26"/>
    <w:rsid w:val="06590A5D"/>
    <w:rsid w:val="07366F70"/>
    <w:rsid w:val="08B06A81"/>
    <w:rsid w:val="0A326B00"/>
    <w:rsid w:val="0C7077BF"/>
    <w:rsid w:val="0C811679"/>
    <w:rsid w:val="0CAF2CDB"/>
    <w:rsid w:val="0CB11915"/>
    <w:rsid w:val="0CC9288A"/>
    <w:rsid w:val="0DD25EA4"/>
    <w:rsid w:val="0FAE5EB5"/>
    <w:rsid w:val="0FD03043"/>
    <w:rsid w:val="10284409"/>
    <w:rsid w:val="109D1BB6"/>
    <w:rsid w:val="10F040B0"/>
    <w:rsid w:val="11EE2DFB"/>
    <w:rsid w:val="13582084"/>
    <w:rsid w:val="152C0D1B"/>
    <w:rsid w:val="1877172C"/>
    <w:rsid w:val="198A6995"/>
    <w:rsid w:val="1A045DC3"/>
    <w:rsid w:val="1A63050A"/>
    <w:rsid w:val="1AFD7122"/>
    <w:rsid w:val="1BF00AD8"/>
    <w:rsid w:val="1CEB390B"/>
    <w:rsid w:val="1D3E783E"/>
    <w:rsid w:val="1D6F5C49"/>
    <w:rsid w:val="1E003A82"/>
    <w:rsid w:val="1F95570F"/>
    <w:rsid w:val="216B6728"/>
    <w:rsid w:val="22250FCC"/>
    <w:rsid w:val="2229424B"/>
    <w:rsid w:val="22D35F39"/>
    <w:rsid w:val="236124D6"/>
    <w:rsid w:val="23770DEF"/>
    <w:rsid w:val="23AF0C28"/>
    <w:rsid w:val="25973F8F"/>
    <w:rsid w:val="26164FB0"/>
    <w:rsid w:val="276B74A0"/>
    <w:rsid w:val="28F21A8D"/>
    <w:rsid w:val="296F4668"/>
    <w:rsid w:val="29836867"/>
    <w:rsid w:val="29E62217"/>
    <w:rsid w:val="2A355217"/>
    <w:rsid w:val="2B485D2C"/>
    <w:rsid w:val="2B49718F"/>
    <w:rsid w:val="2BAC027F"/>
    <w:rsid w:val="2C34712D"/>
    <w:rsid w:val="2CA302B7"/>
    <w:rsid w:val="2CB36001"/>
    <w:rsid w:val="2CB43679"/>
    <w:rsid w:val="2CE143F7"/>
    <w:rsid w:val="2D49666F"/>
    <w:rsid w:val="2D91352C"/>
    <w:rsid w:val="2D93217A"/>
    <w:rsid w:val="2F2C191B"/>
    <w:rsid w:val="2F7D4204"/>
    <w:rsid w:val="2FD14FAE"/>
    <w:rsid w:val="318B0720"/>
    <w:rsid w:val="31BA0345"/>
    <w:rsid w:val="320E6700"/>
    <w:rsid w:val="33FE0E83"/>
    <w:rsid w:val="34140EA1"/>
    <w:rsid w:val="34613C76"/>
    <w:rsid w:val="34AC0D47"/>
    <w:rsid w:val="34D9602F"/>
    <w:rsid w:val="377639AE"/>
    <w:rsid w:val="37DF5322"/>
    <w:rsid w:val="37FA1204"/>
    <w:rsid w:val="38B44BEC"/>
    <w:rsid w:val="39033DE3"/>
    <w:rsid w:val="392E577C"/>
    <w:rsid w:val="3A6540F4"/>
    <w:rsid w:val="3AD23455"/>
    <w:rsid w:val="3B114B77"/>
    <w:rsid w:val="3C235CBD"/>
    <w:rsid w:val="3DE16BA8"/>
    <w:rsid w:val="3EB51D3C"/>
    <w:rsid w:val="400A321C"/>
    <w:rsid w:val="40C83482"/>
    <w:rsid w:val="417010BF"/>
    <w:rsid w:val="42042555"/>
    <w:rsid w:val="42356569"/>
    <w:rsid w:val="444A39F2"/>
    <w:rsid w:val="457E6471"/>
    <w:rsid w:val="45C31D75"/>
    <w:rsid w:val="46680D4E"/>
    <w:rsid w:val="468D21A0"/>
    <w:rsid w:val="46B60FCA"/>
    <w:rsid w:val="472D469D"/>
    <w:rsid w:val="480843CF"/>
    <w:rsid w:val="4BAD4101"/>
    <w:rsid w:val="4DA6390E"/>
    <w:rsid w:val="4DF719D3"/>
    <w:rsid w:val="4F0C2A48"/>
    <w:rsid w:val="4F3956D4"/>
    <w:rsid w:val="4F3D4706"/>
    <w:rsid w:val="50574197"/>
    <w:rsid w:val="52DE6BCC"/>
    <w:rsid w:val="52EF030E"/>
    <w:rsid w:val="53517366"/>
    <w:rsid w:val="542D5ABD"/>
    <w:rsid w:val="54C94F38"/>
    <w:rsid w:val="55B87AE5"/>
    <w:rsid w:val="56066443"/>
    <w:rsid w:val="57476390"/>
    <w:rsid w:val="57D956A8"/>
    <w:rsid w:val="587E3D57"/>
    <w:rsid w:val="589E6E07"/>
    <w:rsid w:val="5BF27883"/>
    <w:rsid w:val="5DDC42EF"/>
    <w:rsid w:val="5DEB4244"/>
    <w:rsid w:val="5E141851"/>
    <w:rsid w:val="5E4D12E1"/>
    <w:rsid w:val="5E92690D"/>
    <w:rsid w:val="60FC7053"/>
    <w:rsid w:val="619F17C0"/>
    <w:rsid w:val="61A12E25"/>
    <w:rsid w:val="623E2411"/>
    <w:rsid w:val="63E2236B"/>
    <w:rsid w:val="650A1BB4"/>
    <w:rsid w:val="66A822CC"/>
    <w:rsid w:val="66D90827"/>
    <w:rsid w:val="694E169D"/>
    <w:rsid w:val="69EC374B"/>
    <w:rsid w:val="6A2014CC"/>
    <w:rsid w:val="6A9D040B"/>
    <w:rsid w:val="6BF75658"/>
    <w:rsid w:val="6C20443D"/>
    <w:rsid w:val="6C944351"/>
    <w:rsid w:val="6CCE730B"/>
    <w:rsid w:val="6E221FB3"/>
    <w:rsid w:val="6E4D5A73"/>
    <w:rsid w:val="6E8328A3"/>
    <w:rsid w:val="6F107F60"/>
    <w:rsid w:val="6FD03ED5"/>
    <w:rsid w:val="6FD6390A"/>
    <w:rsid w:val="6FE10B15"/>
    <w:rsid w:val="6FFE5A4A"/>
    <w:rsid w:val="70361D3F"/>
    <w:rsid w:val="70F45725"/>
    <w:rsid w:val="70FB6A96"/>
    <w:rsid w:val="71EC670C"/>
    <w:rsid w:val="72F33A09"/>
    <w:rsid w:val="76075F3F"/>
    <w:rsid w:val="78BC6FC0"/>
    <w:rsid w:val="7A1E5C17"/>
    <w:rsid w:val="7A5047BF"/>
    <w:rsid w:val="7BDC717B"/>
    <w:rsid w:val="7CFD79D2"/>
    <w:rsid w:val="7DB66434"/>
    <w:rsid w:val="7DCD2C94"/>
    <w:rsid w:val="7E256CE2"/>
    <w:rsid w:val="7E347326"/>
    <w:rsid w:val="FFFFD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paragraph" w:styleId="3">
    <w:name w:val="heading 3"/>
    <w:basedOn w:val="1"/>
    <w:next w:val="1"/>
    <w:link w:val="17"/>
    <w:qFormat/>
    <w:uiPriority w:val="0"/>
    <w:pPr>
      <w:widowControl/>
      <w:spacing w:before="100" w:beforeAutospacing="1" w:after="100" w:afterAutospacing="1"/>
      <w:jc w:val="left"/>
      <w:outlineLvl w:val="2"/>
    </w:pPr>
    <w:rPr>
      <w:rFonts w:ascii="Century Schoolbook" w:hAnsi="Century Schoolbook" w:eastAsia="宋体" w:cs="Times New Roman"/>
      <w:b/>
      <w:bCs/>
      <w:kern w:val="0"/>
      <w:sz w:val="27"/>
      <w:szCs w:val="27"/>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annotation text"/>
    <w:basedOn w:val="1"/>
    <w:link w:val="19"/>
    <w:unhideWhenUsed/>
    <w:qFormat/>
    <w:uiPriority w:val="99"/>
    <w:pPr>
      <w:spacing w:line="360" w:lineRule="auto"/>
      <w:jc w:val="left"/>
    </w:pPr>
    <w:rPr>
      <w:rFonts w:ascii="Times New Roman" w:hAnsi="Times New Roman" w:eastAsia="宋体" w:cs="Times New Roman"/>
      <w:kern w:val="0"/>
      <w:szCs w:val="32"/>
    </w:rPr>
  </w:style>
  <w:style w:type="paragraph" w:styleId="6">
    <w:name w:val="Balloon Text"/>
    <w:basedOn w:val="1"/>
    <w:link w:val="26"/>
    <w:qFormat/>
    <w:uiPriority w:val="0"/>
    <w:rPr>
      <w:sz w:val="18"/>
      <w:szCs w:val="18"/>
    </w:rPr>
  </w:style>
  <w:style w:type="paragraph" w:styleId="7">
    <w:name w:val="footer"/>
    <w:basedOn w:val="1"/>
    <w:link w:val="23"/>
    <w:qFormat/>
    <w:uiPriority w:val="99"/>
    <w:pPr>
      <w:tabs>
        <w:tab w:val="center" w:pos="4153"/>
        <w:tab w:val="right" w:pos="8306"/>
      </w:tabs>
      <w:snapToGrid w:val="0"/>
      <w:jc w:val="left"/>
    </w:pPr>
    <w:rPr>
      <w:sz w:val="18"/>
      <w:szCs w:val="18"/>
    </w:rPr>
  </w:style>
  <w:style w:type="paragraph" w:styleId="8">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paragraph" w:styleId="11">
    <w:name w:val="Normal (Web)"/>
    <w:basedOn w:val="1"/>
    <w:unhideWhenUsed/>
    <w:qFormat/>
    <w:uiPriority w:val="99"/>
    <w:pPr>
      <w:spacing w:beforeAutospacing="1" w:afterAutospacing="1" w:line="360" w:lineRule="auto"/>
      <w:jc w:val="left"/>
    </w:pPr>
    <w:rPr>
      <w:rFonts w:ascii="Times New Roman" w:hAnsi="Times New Roman" w:eastAsia="宋体" w:cs="Times New Roman"/>
      <w:kern w:val="0"/>
      <w:sz w:val="24"/>
      <w:szCs w:val="32"/>
    </w:r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paragraph" w:customStyle="1" w:styleId="15">
    <w:name w:val="_Style 5"/>
    <w:qFormat/>
    <w:uiPriority w:val="0"/>
    <w:pPr>
      <w:widowControl w:val="0"/>
      <w:ind w:firstLine="200" w:firstLineChars="200"/>
      <w:jc w:val="both"/>
    </w:pPr>
    <w:rPr>
      <w:rFonts w:ascii="Calibri" w:hAnsi="Calibri" w:eastAsia="宋体" w:cs="Times New Roman"/>
      <w:kern w:val="2"/>
      <w:sz w:val="24"/>
      <w:szCs w:val="22"/>
      <w:lang w:val="en-US" w:eastAsia="zh-CN" w:bidi="ar-SA"/>
    </w:rPr>
  </w:style>
  <w:style w:type="paragraph" w:styleId="16">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17">
    <w:name w:val="标题 3 字符"/>
    <w:basedOn w:val="13"/>
    <w:link w:val="3"/>
    <w:qFormat/>
    <w:uiPriority w:val="0"/>
    <w:rPr>
      <w:rFonts w:ascii="Century Schoolbook" w:hAnsi="Century Schoolbook" w:eastAsia="宋体" w:cs="Times New Roman"/>
      <w:b/>
      <w:bCs/>
      <w:sz w:val="27"/>
      <w:szCs w:val="27"/>
    </w:rPr>
  </w:style>
  <w:style w:type="paragraph" w:customStyle="1" w:styleId="18">
    <w:name w:val="Plain Text1"/>
    <w:basedOn w:val="1"/>
    <w:qFormat/>
    <w:uiPriority w:val="99"/>
    <w:pPr>
      <w:spacing w:line="360" w:lineRule="auto"/>
    </w:pPr>
    <w:rPr>
      <w:rFonts w:ascii="宋体" w:hAnsi="Courier New" w:eastAsia="宋体" w:cs="Courier New"/>
      <w:kern w:val="0"/>
      <w:szCs w:val="21"/>
    </w:rPr>
  </w:style>
  <w:style w:type="character" w:customStyle="1" w:styleId="19">
    <w:name w:val="批注文字 字符"/>
    <w:basedOn w:val="13"/>
    <w:link w:val="5"/>
    <w:qFormat/>
    <w:uiPriority w:val="99"/>
    <w:rPr>
      <w:rFonts w:ascii="Times New Roman" w:hAnsi="Times New Roman" w:eastAsia="宋体" w:cs="Times New Roman"/>
      <w:sz w:val="21"/>
      <w:szCs w:val="32"/>
    </w:rPr>
  </w:style>
  <w:style w:type="character" w:customStyle="1" w:styleId="20">
    <w:name w:val="font61"/>
    <w:qFormat/>
    <w:uiPriority w:val="0"/>
    <w:rPr>
      <w:rFonts w:hint="default" w:ascii="仿宋_GB2312" w:hAnsi="Cambria Math" w:eastAsia="仿宋_GB2312" w:cs="仿宋_GB2312"/>
      <w:color w:val="000000"/>
      <w:sz w:val="20"/>
      <w:szCs w:val="20"/>
      <w:u w:val="none"/>
    </w:rPr>
  </w:style>
  <w:style w:type="character" w:customStyle="1" w:styleId="21">
    <w:name w:val="NormalCharacter"/>
    <w:semiHidden/>
    <w:qFormat/>
    <w:uiPriority w:val="0"/>
    <w:rPr>
      <w:rFonts w:ascii="Calibri" w:hAnsi="Calibri" w:eastAsia="宋体" w:cs="Times New Roman"/>
      <w:kern w:val="2"/>
      <w:sz w:val="21"/>
      <w:szCs w:val="24"/>
      <w:lang w:val="en-US" w:eastAsia="zh-CN" w:bidi="ar-SA"/>
    </w:rPr>
  </w:style>
  <w:style w:type="character" w:customStyle="1" w:styleId="22">
    <w:name w:val="页眉 字符"/>
    <w:basedOn w:val="13"/>
    <w:link w:val="8"/>
    <w:qFormat/>
    <w:uiPriority w:val="0"/>
    <w:rPr>
      <w:kern w:val="2"/>
      <w:sz w:val="18"/>
      <w:szCs w:val="18"/>
    </w:rPr>
  </w:style>
  <w:style w:type="character" w:customStyle="1" w:styleId="23">
    <w:name w:val="页脚 字符"/>
    <w:basedOn w:val="13"/>
    <w:link w:val="7"/>
    <w:qFormat/>
    <w:uiPriority w:val="99"/>
    <w:rPr>
      <w:kern w:val="2"/>
      <w:sz w:val="18"/>
      <w:szCs w:val="18"/>
    </w:rPr>
  </w:style>
  <w:style w:type="character" w:customStyle="1" w:styleId="24">
    <w:name w:val="标题 1 字符"/>
    <w:basedOn w:val="13"/>
    <w:link w:val="2"/>
    <w:qFormat/>
    <w:uiPriority w:val="0"/>
    <w:rPr>
      <w:b/>
      <w:bCs/>
      <w:kern w:val="44"/>
      <w:sz w:val="44"/>
      <w:szCs w:val="44"/>
    </w:rPr>
  </w:style>
  <w:style w:type="paragraph" w:customStyle="1" w:styleId="2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26">
    <w:name w:val="批注框文本 字符"/>
    <w:basedOn w:val="13"/>
    <w:link w:val="6"/>
    <w:qFormat/>
    <w:uiPriority w:val="0"/>
    <w:rPr>
      <w:rFonts w:asciiTheme="minorHAnsi" w:hAnsiTheme="minorHAnsi" w:eastAsiaTheme="minorEastAsia" w:cstheme="minorBidi"/>
      <w:kern w:val="2"/>
      <w:sz w:val="18"/>
      <w:szCs w:val="18"/>
    </w:rPr>
  </w:style>
  <w:style w:type="paragraph" w:customStyle="1" w:styleId="27">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8">
    <w:name w:val="font11"/>
    <w:basedOn w:val="13"/>
    <w:qFormat/>
    <w:uiPriority w:val="0"/>
    <w:rPr>
      <w:rFonts w:hint="eastAsia" w:ascii="宋体" w:hAnsi="宋体" w:eastAsia="宋体" w:cs="宋体"/>
      <w:color w:val="000000"/>
      <w:sz w:val="22"/>
      <w:szCs w:val="22"/>
      <w:u w:val="none"/>
    </w:rPr>
  </w:style>
  <w:style w:type="paragraph" w:customStyle="1" w:styleId="29">
    <w:name w:val="Normal Indent1"/>
    <w:basedOn w:val="1"/>
    <w:qFormat/>
    <w:uiPriority w:val="99"/>
    <w:pPr>
      <w:widowControl/>
      <w:spacing w:line="593" w:lineRule="exact"/>
      <w:ind w:firstLine="640" w:firstLineChars="200"/>
    </w:pPr>
    <w:rPr>
      <w:rFonts w:ascii="仿宋_GB2312" w:hAnsi="仿宋_GB2312" w:eastAsia="仿宋_GB2312" w:cs="仿宋_GB2312"/>
      <w:color w:val="000000"/>
      <w:kern w:val="0"/>
      <w:sz w:val="32"/>
    </w:rPr>
  </w:style>
  <w:style w:type="character" w:customStyle="1" w:styleId="30">
    <w:name w:val="font41"/>
    <w:basedOn w:val="13"/>
    <w:qFormat/>
    <w:uiPriority w:val="0"/>
    <w:rPr>
      <w:rFonts w:hint="eastAsia" w:ascii="仿宋_GB2312" w:eastAsia="仿宋_GB2312" w:cs="仿宋_GB2312"/>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57</Pages>
  <Words>26728</Words>
  <Characters>30151</Characters>
  <Lines>243</Lines>
  <Paragraphs>68</Paragraphs>
  <TotalTime>6</TotalTime>
  <ScaleCrop>false</ScaleCrop>
  <LinksUpToDate>false</LinksUpToDate>
  <CharactersWithSpaces>30515</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2022-03-04T15:11:00Z</dcterms:created>
  <dc:creator>LG</dc:creator>
  <cp:lastModifiedBy>kylin</cp:lastModifiedBy>
  <dcterms:modified xsi:type="dcterms:W3CDTF">2025-09-17T16:40:28Z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y fmtid="{D5CDD505-2E9C-101B-9397-08002B2CF9AE}" pid="3" name="ICV">
    <vt:lpwstr>9BE4329717A04761858120F07F2CCE22</vt:lpwstr>
  </property>
</Properties>
</file>