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default" w:ascii="Times New Roman" w:hAnsi="Times New Roman" w:eastAsia="黑体" w:cs="Times New Roman"/>
          <w:b w:val="0"/>
          <w:bCs w:val="0"/>
          <w:sz w:val="32"/>
          <w:szCs w:val="32"/>
          <w:highlight w:val="none"/>
          <w:lang w:val="en-US" w:eastAsia="zh-CN"/>
        </w:rPr>
      </w:pPr>
      <w:bookmarkStart w:id="0" w:name="_Toc435208498"/>
      <w:bookmarkStart w:id="1" w:name="_Toc427081159"/>
      <w:bookmarkStart w:id="2" w:name="_Toc425700744"/>
      <w:r>
        <w:rPr>
          <w:rFonts w:hint="default" w:ascii="Times New Roman" w:hAnsi="Times New Roman" w:eastAsia="黑体" w:cs="Times New Roman"/>
          <w:b w:val="0"/>
          <w:bCs w:val="0"/>
          <w:sz w:val="32"/>
          <w:szCs w:val="32"/>
          <w:highlight w:val="none"/>
          <w:lang w:val="en-US" w:eastAsia="zh-CN"/>
        </w:rPr>
        <w:t>附件</w:t>
      </w:r>
      <w:r>
        <w:rPr>
          <w:rFonts w:hint="eastAsia" w:eastAsia="黑体" w:cs="Times New Roman"/>
          <w:b w:val="0"/>
          <w:bCs w:val="0"/>
          <w:sz w:val="32"/>
          <w:szCs w:val="32"/>
          <w:highlight w:val="none"/>
          <w:lang w:val="en-US" w:eastAsia="zh-CN"/>
        </w:rPr>
        <w:t>2</w:t>
      </w:r>
      <w:bookmarkStart w:id="80" w:name="_GoBack"/>
      <w:bookmarkEnd w:id="80"/>
    </w:p>
    <w:p>
      <w:pPr>
        <w:pStyle w:val="6"/>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方正小标宋简体" w:cs="Times New Roman"/>
          <w:b w:val="0"/>
          <w:bCs w:val="0"/>
          <w:sz w:val="44"/>
          <w:szCs w:val="44"/>
          <w:highlight w:val="none"/>
        </w:rPr>
      </w:pPr>
      <w:r>
        <w:rPr>
          <w:rFonts w:hint="eastAsia" w:eastAsia="方正小标宋简体" w:cs="Times New Roman"/>
          <w:b w:val="0"/>
          <w:bCs w:val="0"/>
          <w:sz w:val="44"/>
          <w:szCs w:val="44"/>
          <w:highlight w:val="none"/>
          <w:lang w:eastAsia="zh-CN"/>
        </w:rPr>
        <w:t>韶关市曲江区2024年</w:t>
      </w:r>
      <w:r>
        <w:rPr>
          <w:rFonts w:hint="eastAsia" w:eastAsia="方正小标宋简体" w:cs="Times New Roman"/>
          <w:b w:val="0"/>
          <w:bCs w:val="0"/>
          <w:sz w:val="44"/>
          <w:szCs w:val="44"/>
          <w:highlight w:val="none"/>
          <w:lang w:val="en-US" w:eastAsia="zh-CN"/>
        </w:rPr>
        <w:t>度集体建设用地</w:t>
      </w:r>
      <w:r>
        <w:rPr>
          <w:rFonts w:hint="default" w:ascii="Times New Roman" w:hAnsi="Times New Roman" w:eastAsia="方正小标宋简体" w:cs="Times New Roman"/>
          <w:b w:val="0"/>
          <w:bCs w:val="0"/>
          <w:sz w:val="44"/>
          <w:szCs w:val="44"/>
          <w:highlight w:val="none"/>
        </w:rPr>
        <w:t>基准</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地价</w:t>
      </w:r>
      <w:r>
        <w:rPr>
          <w:rFonts w:hint="eastAsia" w:eastAsia="方正小标宋简体" w:cs="Times New Roman"/>
          <w:b w:val="0"/>
          <w:bCs w:val="0"/>
          <w:sz w:val="44"/>
          <w:szCs w:val="44"/>
          <w:highlight w:val="none"/>
          <w:lang w:val="en-US" w:eastAsia="zh-CN"/>
        </w:rPr>
        <w:t>更新项目</w:t>
      </w:r>
      <w:r>
        <w:rPr>
          <w:rFonts w:hint="default" w:ascii="Times New Roman" w:hAnsi="Times New Roman" w:eastAsia="方正小标宋简体" w:cs="Times New Roman"/>
          <w:b w:val="0"/>
          <w:bCs w:val="0"/>
          <w:sz w:val="44"/>
          <w:szCs w:val="44"/>
          <w:highlight w:val="none"/>
        </w:rPr>
        <w:t>成果</w:t>
      </w:r>
    </w:p>
    <w:p>
      <w:pPr>
        <w:pStyle w:val="2"/>
        <w:keepNext w:val="0"/>
        <w:keepLines w:val="0"/>
        <w:pageBreakBefore w:val="0"/>
        <w:widowControl w:val="0"/>
        <w:kinsoku/>
        <w:wordWrap/>
        <w:overflowPunct/>
        <w:topLinePunct w:val="0"/>
        <w:autoSpaceDE/>
        <w:autoSpaceDN/>
        <w:bidi w:val="0"/>
        <w:adjustRightInd w:val="0"/>
        <w:snapToGrid w:val="0"/>
        <w:spacing w:before="0" w:after="0" w:line="560" w:lineRule="exact"/>
        <w:ind w:left="0" w:firstLine="0"/>
        <w:jc w:val="both"/>
        <w:textAlignment w:val="auto"/>
        <w:rPr>
          <w:rFonts w:hint="default" w:ascii="Times New Roman" w:hAnsi="Times New Roman" w:eastAsia="仿宋_GB2312" w:cs="Times New Roman"/>
          <w:b w:val="0"/>
          <w:bCs w:val="0"/>
          <w:highlight w:val="none"/>
        </w:rPr>
      </w:pPr>
      <w:bookmarkStart w:id="3" w:name="_Toc169097090"/>
    </w:p>
    <w:bookmarkEnd w:id="3"/>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firstLine="640" w:firstLineChars="200"/>
        <w:textAlignment w:val="auto"/>
        <w:rPr>
          <w:rFonts w:hint="eastAsia" w:ascii="黑体" w:hAnsi="黑体" w:eastAsia="黑体" w:cs="黑体"/>
          <w:b w:val="0"/>
          <w:bCs w:val="0"/>
          <w:color w:val="auto"/>
          <w:kern w:val="48"/>
          <w:sz w:val="32"/>
          <w:szCs w:val="30"/>
          <w:highlight w:val="none"/>
          <w:lang w:val="en-US" w:eastAsia="zh-CN"/>
        </w:rPr>
      </w:pPr>
      <w:r>
        <w:rPr>
          <w:rFonts w:hint="eastAsia" w:ascii="黑体" w:hAnsi="黑体" w:eastAsia="黑体" w:cs="黑体"/>
          <w:b w:val="0"/>
          <w:bCs w:val="0"/>
          <w:color w:val="auto"/>
          <w:kern w:val="48"/>
          <w:sz w:val="32"/>
          <w:szCs w:val="30"/>
          <w:highlight w:val="none"/>
          <w:lang w:val="en-US" w:eastAsia="zh-CN"/>
        </w:rPr>
        <w:t>一、工作范围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本次基准地价评估工作范围为韶关市曲江区，包括城区（含马坝镇和松山街道）以及其他8个建制镇（白土镇、大塘镇、沙溪镇、乌石镇、樟市镇、枫湾镇、罗坑镇、小坑镇）内所有土地，总面积为1167.08平方公里。（本次更新剔除了不进行建设用地开发的山体、河流区域和生态保护区共计453.69平方公里）</w:t>
      </w:r>
      <w:r>
        <w:rPr>
          <w:rFonts w:hint="eastAsia" w:eastAsia="仿宋_GB2312" w:cs="Times New Roman"/>
          <w:b w:val="0"/>
          <w:bCs w:val="0"/>
          <w:sz w:val="32"/>
          <w:szCs w:val="32"/>
          <w:highlight w:val="none"/>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firstLine="640" w:firstLineChars="200"/>
        <w:textAlignment w:val="auto"/>
        <w:rPr>
          <w:rFonts w:hint="default" w:ascii="黑体" w:hAnsi="黑体" w:eastAsia="黑体" w:cs="黑体"/>
          <w:b w:val="0"/>
          <w:bCs w:val="0"/>
          <w:color w:val="auto"/>
          <w:kern w:val="48"/>
          <w:sz w:val="32"/>
          <w:szCs w:val="30"/>
          <w:highlight w:val="none"/>
          <w:lang w:val="en-US" w:eastAsia="zh-CN"/>
        </w:rPr>
      </w:pPr>
      <w:bookmarkStart w:id="4" w:name="_Toc503165712"/>
      <w:bookmarkStart w:id="5" w:name="_Toc169097092"/>
      <w:bookmarkStart w:id="6" w:name="_Toc501510286"/>
      <w:r>
        <w:rPr>
          <w:rFonts w:hint="eastAsia" w:ascii="黑体" w:hAnsi="黑体" w:eastAsia="黑体" w:cs="黑体"/>
          <w:b w:val="0"/>
          <w:bCs w:val="0"/>
          <w:color w:val="auto"/>
          <w:kern w:val="48"/>
          <w:sz w:val="32"/>
          <w:szCs w:val="30"/>
          <w:highlight w:val="none"/>
          <w:lang w:val="en-US" w:eastAsia="zh-CN"/>
        </w:rPr>
        <w:t>二、</w:t>
      </w:r>
      <w:r>
        <w:rPr>
          <w:rFonts w:hint="default" w:ascii="黑体" w:hAnsi="黑体" w:eastAsia="黑体" w:cs="黑体"/>
          <w:b w:val="0"/>
          <w:bCs w:val="0"/>
          <w:color w:val="auto"/>
          <w:kern w:val="48"/>
          <w:sz w:val="32"/>
          <w:szCs w:val="30"/>
          <w:highlight w:val="none"/>
          <w:lang w:val="en-US" w:eastAsia="zh-CN"/>
        </w:rPr>
        <w:t>基准地价内涵</w:t>
      </w:r>
      <w:bookmarkEnd w:id="4"/>
      <w:bookmarkEnd w:id="5"/>
      <w:bookmarkEnd w:id="6"/>
    </w:p>
    <w:p>
      <w:pPr>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eastAsia" w:ascii="楷体_GB2312" w:hAnsi="楷体_GB2312" w:eastAsia="楷体_GB2312" w:cs="楷体_GB2312"/>
          <w:b w:val="0"/>
          <w:bCs w:val="0"/>
          <w:snapToGrid w:val="0"/>
          <w:color w:val="000000"/>
          <w:kern w:val="0"/>
          <w:sz w:val="32"/>
          <w:szCs w:val="32"/>
          <w:highlight w:val="none"/>
          <w:lang w:val="zh-CN" w:eastAsia="zh-CN" w:bidi="ar"/>
        </w:rPr>
        <w:t>（一）</w:t>
      </w:r>
      <w:r>
        <w:rPr>
          <w:rFonts w:hint="eastAsia" w:ascii="楷体_GB2312" w:hAnsi="楷体_GB2312" w:eastAsia="楷体_GB2312" w:cs="楷体_GB2312"/>
          <w:b w:val="0"/>
          <w:bCs w:val="0"/>
          <w:snapToGrid w:val="0"/>
          <w:color w:val="000000"/>
          <w:kern w:val="0"/>
          <w:sz w:val="32"/>
          <w:szCs w:val="32"/>
          <w:highlight w:val="none"/>
          <w:lang w:val="en-US" w:eastAsia="zh-CN" w:bidi="ar"/>
        </w:rPr>
        <w:t>集体</w:t>
      </w:r>
      <w:r>
        <w:rPr>
          <w:rFonts w:hint="eastAsia" w:ascii="楷体_GB2312" w:hAnsi="楷体_GB2312" w:eastAsia="楷体_GB2312" w:cs="楷体_GB2312"/>
          <w:b w:val="0"/>
          <w:bCs w:val="0"/>
          <w:snapToGrid w:val="0"/>
          <w:color w:val="000000"/>
          <w:kern w:val="0"/>
          <w:sz w:val="32"/>
          <w:szCs w:val="32"/>
          <w:highlight w:val="none"/>
          <w:lang w:val="zh-CN" w:eastAsia="zh-CN" w:bidi="ar"/>
        </w:rPr>
        <w:t>商服用地级别价。</w:t>
      </w:r>
      <w:r>
        <w:rPr>
          <w:rFonts w:hint="default" w:ascii="Times New Roman" w:hAnsi="Times New Roman" w:eastAsia="仿宋_GB2312" w:cs="Times New Roman"/>
          <w:b w:val="0"/>
          <w:bCs w:val="0"/>
          <w:sz w:val="32"/>
          <w:szCs w:val="32"/>
          <w:highlight w:val="none"/>
        </w:rPr>
        <w:t>指土地在平稳正常情况、正常市场条件下的出让土地使用权价格，设定土地开发程度为“三通一平”（即宗地红线外通路、供水、通电；宗地红线内场地平整），估价期日为2024年1月1日，土地使用年期为40年，设定容积率为1.6，价格表现形式为平均楼面地价。价格单位为元/平方米，币种为人民币。</w:t>
      </w:r>
    </w:p>
    <w:p>
      <w:pPr>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eastAsia" w:ascii="楷体_GB2312" w:hAnsi="楷体_GB2312" w:eastAsia="楷体_GB2312" w:cs="楷体_GB2312"/>
          <w:b w:val="0"/>
          <w:bCs w:val="0"/>
          <w:snapToGrid w:val="0"/>
          <w:color w:val="000000"/>
          <w:kern w:val="0"/>
          <w:sz w:val="32"/>
          <w:szCs w:val="32"/>
          <w:highlight w:val="none"/>
          <w:lang w:val="zh-CN" w:eastAsia="zh-CN" w:bidi="ar"/>
        </w:rPr>
        <w:t>（</w:t>
      </w:r>
      <w:r>
        <w:rPr>
          <w:rFonts w:hint="eastAsia" w:ascii="楷体_GB2312" w:hAnsi="楷体_GB2312" w:eastAsia="楷体_GB2312" w:cs="楷体_GB2312"/>
          <w:b w:val="0"/>
          <w:bCs w:val="0"/>
          <w:snapToGrid w:val="0"/>
          <w:color w:val="000000"/>
          <w:kern w:val="0"/>
          <w:sz w:val="32"/>
          <w:szCs w:val="32"/>
          <w:highlight w:val="none"/>
          <w:lang w:val="en-US" w:eastAsia="zh-CN" w:bidi="ar"/>
        </w:rPr>
        <w:t>二</w:t>
      </w:r>
      <w:r>
        <w:rPr>
          <w:rFonts w:hint="eastAsia" w:ascii="楷体_GB2312" w:hAnsi="楷体_GB2312" w:eastAsia="楷体_GB2312" w:cs="楷体_GB2312"/>
          <w:b w:val="0"/>
          <w:bCs w:val="0"/>
          <w:snapToGrid w:val="0"/>
          <w:color w:val="000000"/>
          <w:kern w:val="0"/>
          <w:sz w:val="32"/>
          <w:szCs w:val="32"/>
          <w:highlight w:val="none"/>
          <w:lang w:val="zh-CN" w:eastAsia="zh-CN" w:bidi="ar"/>
        </w:rPr>
        <w:t>）</w:t>
      </w:r>
      <w:r>
        <w:rPr>
          <w:rFonts w:hint="eastAsia" w:ascii="楷体_GB2312" w:hAnsi="楷体_GB2312" w:eastAsia="楷体_GB2312" w:cs="楷体_GB2312"/>
          <w:b w:val="0"/>
          <w:bCs w:val="0"/>
          <w:snapToGrid w:val="0"/>
          <w:color w:val="000000"/>
          <w:kern w:val="0"/>
          <w:sz w:val="32"/>
          <w:szCs w:val="32"/>
          <w:highlight w:val="none"/>
          <w:lang w:val="en-US" w:eastAsia="zh-CN" w:bidi="ar"/>
        </w:rPr>
        <w:t>宅基地级别价</w:t>
      </w:r>
      <w:r>
        <w:rPr>
          <w:rFonts w:hint="eastAsia" w:ascii="楷体_GB2312" w:hAnsi="楷体_GB2312" w:eastAsia="楷体_GB2312" w:cs="楷体_GB2312"/>
          <w:b w:val="0"/>
          <w:bCs w:val="0"/>
          <w:snapToGrid w:val="0"/>
          <w:color w:val="000000"/>
          <w:kern w:val="0"/>
          <w:sz w:val="32"/>
          <w:szCs w:val="32"/>
          <w:highlight w:val="none"/>
          <w:lang w:val="zh-CN" w:eastAsia="zh-CN" w:bidi="ar"/>
        </w:rPr>
        <w:t>。</w:t>
      </w:r>
      <w:r>
        <w:rPr>
          <w:rFonts w:hint="default" w:ascii="Times New Roman" w:hAnsi="Times New Roman" w:eastAsia="仿宋_GB2312" w:cs="Times New Roman"/>
          <w:b w:val="0"/>
          <w:bCs w:val="0"/>
          <w:sz w:val="32"/>
          <w:szCs w:val="32"/>
          <w:highlight w:val="none"/>
        </w:rPr>
        <w:t>指土地在平稳正常情况、特定市场条件下的宅基地使用权平均价格，设定土地开发程度为“三通一平”（即宗地红线外通路、供水、通电；宗地红线内场地平整），估价期日为2024年1月1日，土地使用年期为无年期限制，设定容积率为2.5，价格表现形式为地面地价。价格单位为元/平方米，币种为人民币。</w:t>
      </w:r>
    </w:p>
    <w:p>
      <w:pPr>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eastAsia" w:ascii="楷体_GB2312" w:hAnsi="楷体_GB2312" w:eastAsia="楷体_GB2312" w:cs="楷体_GB2312"/>
          <w:b w:val="0"/>
          <w:bCs w:val="0"/>
          <w:snapToGrid w:val="0"/>
          <w:color w:val="000000"/>
          <w:kern w:val="0"/>
          <w:sz w:val="32"/>
          <w:szCs w:val="32"/>
          <w:highlight w:val="none"/>
          <w:lang w:val="zh-CN" w:eastAsia="zh-CN" w:bidi="ar"/>
        </w:rPr>
        <w:t>（</w:t>
      </w:r>
      <w:r>
        <w:rPr>
          <w:rFonts w:hint="eastAsia" w:ascii="楷体_GB2312" w:hAnsi="楷体_GB2312" w:eastAsia="楷体_GB2312" w:cs="楷体_GB2312"/>
          <w:b w:val="0"/>
          <w:bCs w:val="0"/>
          <w:snapToGrid w:val="0"/>
          <w:color w:val="000000"/>
          <w:kern w:val="0"/>
          <w:sz w:val="32"/>
          <w:szCs w:val="32"/>
          <w:highlight w:val="none"/>
          <w:lang w:val="en-US" w:eastAsia="zh-CN" w:bidi="ar"/>
        </w:rPr>
        <w:t>三</w:t>
      </w:r>
      <w:r>
        <w:rPr>
          <w:rFonts w:hint="eastAsia" w:ascii="楷体_GB2312" w:hAnsi="楷体_GB2312" w:eastAsia="楷体_GB2312" w:cs="楷体_GB2312"/>
          <w:b w:val="0"/>
          <w:bCs w:val="0"/>
          <w:snapToGrid w:val="0"/>
          <w:color w:val="000000"/>
          <w:kern w:val="0"/>
          <w:sz w:val="32"/>
          <w:szCs w:val="32"/>
          <w:highlight w:val="none"/>
          <w:lang w:val="zh-CN" w:eastAsia="zh-CN" w:bidi="ar"/>
        </w:rPr>
        <w:t>）</w:t>
      </w:r>
      <w:r>
        <w:rPr>
          <w:rFonts w:hint="eastAsia" w:ascii="楷体_GB2312" w:hAnsi="楷体_GB2312" w:eastAsia="楷体_GB2312" w:cs="楷体_GB2312"/>
          <w:b w:val="0"/>
          <w:bCs w:val="0"/>
          <w:snapToGrid w:val="0"/>
          <w:color w:val="000000"/>
          <w:kern w:val="0"/>
          <w:sz w:val="32"/>
          <w:szCs w:val="32"/>
          <w:highlight w:val="none"/>
          <w:lang w:val="en-US" w:eastAsia="zh-CN" w:bidi="ar"/>
        </w:rPr>
        <w:t>集体</w:t>
      </w:r>
      <w:r>
        <w:rPr>
          <w:rFonts w:hint="default" w:ascii="楷体_GB2312" w:hAnsi="楷体_GB2312" w:eastAsia="楷体_GB2312" w:cs="楷体_GB2312"/>
          <w:b w:val="0"/>
          <w:bCs w:val="0"/>
          <w:snapToGrid w:val="0"/>
          <w:color w:val="000000"/>
          <w:kern w:val="0"/>
          <w:sz w:val="32"/>
          <w:szCs w:val="32"/>
          <w:highlight w:val="none"/>
          <w:lang w:val="zh-CN" w:eastAsia="zh-CN" w:bidi="ar"/>
        </w:rPr>
        <w:t>工业用地级别价</w:t>
      </w:r>
      <w:r>
        <w:rPr>
          <w:rFonts w:hint="eastAsia" w:ascii="楷体_GB2312" w:hAnsi="楷体_GB2312" w:eastAsia="楷体_GB2312" w:cs="楷体_GB2312"/>
          <w:b w:val="0"/>
          <w:bCs w:val="0"/>
          <w:snapToGrid w:val="0"/>
          <w:color w:val="000000"/>
          <w:kern w:val="0"/>
          <w:sz w:val="32"/>
          <w:szCs w:val="32"/>
          <w:highlight w:val="none"/>
          <w:lang w:val="zh-CN" w:eastAsia="zh-CN" w:bidi="ar"/>
        </w:rPr>
        <w:t>。</w:t>
      </w:r>
      <w:r>
        <w:rPr>
          <w:rFonts w:hint="default" w:ascii="Times New Roman" w:hAnsi="Times New Roman" w:eastAsia="仿宋_GB2312" w:cs="Times New Roman"/>
          <w:b w:val="0"/>
          <w:bCs w:val="0"/>
          <w:sz w:val="32"/>
          <w:szCs w:val="32"/>
          <w:highlight w:val="none"/>
        </w:rPr>
        <w:t>指土地在平稳正常情况、正常市场条件下的出让土地使用权价格，设定土地开发程度为“三通一平”（即宗地红线外通路、供水、通电；宗地红线内场地平整），估价期日为2024年1月1日，土地使用年期为50年，设定容积率为1.0，价格表现形式为地面地价。价格单位为元/平方米，币种为人民币。</w:t>
      </w:r>
    </w:p>
    <w:p>
      <w:pPr>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b w:val="0"/>
          <w:bCs w:val="0"/>
          <w:sz w:val="32"/>
          <w:szCs w:val="32"/>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firstLine="640" w:firstLineChars="200"/>
        <w:textAlignment w:val="auto"/>
        <w:rPr>
          <w:rFonts w:hint="eastAsia" w:ascii="黑体" w:hAnsi="黑体" w:eastAsia="黑体" w:cs="黑体"/>
          <w:b w:val="0"/>
          <w:bCs w:val="0"/>
          <w:color w:val="auto"/>
          <w:kern w:val="48"/>
          <w:sz w:val="32"/>
          <w:szCs w:val="30"/>
          <w:highlight w:val="none"/>
          <w:lang w:val="en-US" w:eastAsia="zh-CN"/>
        </w:rPr>
      </w:pPr>
      <w:bookmarkStart w:id="7" w:name="_Toc31236"/>
      <w:bookmarkStart w:id="8" w:name="_Toc2940"/>
      <w:bookmarkStart w:id="9" w:name="_Toc169097094"/>
      <w:r>
        <w:rPr>
          <w:rFonts w:hint="eastAsia" w:ascii="黑体" w:hAnsi="黑体" w:eastAsia="黑体" w:cs="黑体"/>
          <w:b w:val="0"/>
          <w:bCs w:val="0"/>
          <w:color w:val="auto"/>
          <w:kern w:val="48"/>
          <w:sz w:val="32"/>
          <w:szCs w:val="30"/>
          <w:highlight w:val="none"/>
          <w:lang w:val="en-US" w:eastAsia="zh-CN"/>
        </w:rPr>
        <w:t>三、基准地价成果</w:t>
      </w:r>
      <w:bookmarkEnd w:id="7"/>
      <w:bookmarkEnd w:id="8"/>
    </w:p>
    <w:bookmarkEnd w:id="9"/>
    <w:p>
      <w:pPr>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楷体_GB2312" w:hAnsi="楷体_GB2312" w:eastAsia="楷体_GB2312" w:cs="楷体_GB2312"/>
          <w:b w:val="0"/>
          <w:bCs w:val="0"/>
          <w:snapToGrid w:val="0"/>
          <w:color w:val="000000"/>
          <w:kern w:val="0"/>
          <w:sz w:val="32"/>
          <w:szCs w:val="32"/>
          <w:highlight w:val="none"/>
          <w:lang w:val="en-US" w:eastAsia="zh-CN" w:bidi="ar"/>
        </w:rPr>
      </w:pPr>
      <w:bookmarkStart w:id="10" w:name="_Toc14262"/>
      <w:bookmarkStart w:id="11" w:name="_Toc5200"/>
      <w:r>
        <w:rPr>
          <w:rFonts w:hint="eastAsia" w:ascii="楷体_GB2312" w:hAnsi="楷体_GB2312" w:eastAsia="楷体_GB2312" w:cs="楷体_GB2312"/>
          <w:b w:val="0"/>
          <w:bCs w:val="0"/>
          <w:snapToGrid w:val="0"/>
          <w:color w:val="000000"/>
          <w:kern w:val="0"/>
          <w:sz w:val="32"/>
          <w:szCs w:val="32"/>
          <w:highlight w:val="none"/>
          <w:lang w:val="en-US" w:eastAsia="zh-CN" w:bidi="ar"/>
        </w:rPr>
        <w:t>（一）各用途级别基准地价表</w:t>
      </w:r>
      <w:bookmarkEnd w:id="10"/>
      <w:bookmarkEnd w:id="11"/>
    </w:p>
    <w:p>
      <w:pPr>
        <w:numPr>
          <w:ilvl w:val="0"/>
          <w:numId w:val="1"/>
        </w:numPr>
        <w:autoSpaceDE w:val="0"/>
        <w:autoSpaceDN w:val="0"/>
        <w:bidi w:val="0"/>
        <w:spacing w:line="500" w:lineRule="exact"/>
        <w:ind w:left="2831" w:leftChars="0" w:hanging="1697" w:firstLineChars="0"/>
        <w:jc w:val="center"/>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韶关市曲江区各用途</w:t>
      </w:r>
      <w:r>
        <w:rPr>
          <w:rFonts w:hint="eastAsia" w:ascii="仿宋_GB2312" w:hAnsi="仿宋_GB2312" w:eastAsia="仿宋_GB2312" w:cs="仿宋_GB2312"/>
          <w:b w:val="0"/>
          <w:bCs w:val="0"/>
          <w:color w:val="auto"/>
          <w:kern w:val="28"/>
          <w:sz w:val="32"/>
          <w:szCs w:val="32"/>
          <w:highlight w:val="none"/>
          <w:lang w:val="en-US" w:eastAsia="zh-CN"/>
        </w:rPr>
        <w:t>集体</w:t>
      </w:r>
      <w:r>
        <w:rPr>
          <w:rFonts w:hint="default" w:ascii="仿宋_GB2312" w:hAnsi="仿宋_GB2312" w:eastAsia="仿宋_GB2312" w:cs="仿宋_GB2312"/>
          <w:b w:val="0"/>
          <w:bCs w:val="0"/>
          <w:color w:val="auto"/>
          <w:kern w:val="28"/>
          <w:sz w:val="32"/>
          <w:szCs w:val="32"/>
          <w:highlight w:val="none"/>
          <w:lang w:val="en-US" w:eastAsia="zh-CN"/>
        </w:rPr>
        <w:t>用地级别基准地价表</w:t>
      </w:r>
    </w:p>
    <w:p>
      <w:pPr>
        <w:tabs>
          <w:tab w:val="left" w:pos="0"/>
        </w:tabs>
        <w:spacing w:beforeLines="25" w:afterLines="25" w:line="240" w:lineRule="auto"/>
        <w:ind w:firstLine="0" w:firstLineChars="0"/>
        <w:jc w:val="right"/>
        <w:rPr>
          <w:rFonts w:ascii="仿宋_GB2312" w:hAnsi="仿宋_GB2312" w:eastAsia="仿宋_GB2312" w:cs="仿宋_GB2312"/>
          <w:b/>
          <w:bCs/>
          <w:sz w:val="24"/>
          <w:highlight w:val="none"/>
        </w:rPr>
      </w:pPr>
      <w:r>
        <w:rPr>
          <w:rFonts w:hint="eastAsia" w:ascii="仿宋_GB2312" w:hAnsi="仿宋_GB2312" w:eastAsia="仿宋_GB2312" w:cs="仿宋_GB2312"/>
          <w:b/>
          <w:sz w:val="22"/>
          <w:szCs w:val="28"/>
          <w:highlight w:val="none"/>
        </w:rPr>
        <w:t>单位：元/平方米</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694"/>
        <w:gridCol w:w="2326"/>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749" w:type="pct"/>
            <w:vMerge w:val="restart"/>
            <w:tcBorders>
              <w:top w:val="single" w:color="auto" w:sz="4" w:space="0"/>
              <w:bottom w:val="single" w:color="auto" w:sz="4" w:space="0"/>
              <w:tl2br w:val="single" w:color="auto" w:sz="4" w:space="0"/>
            </w:tcBorders>
            <w:noWrap/>
            <w:vAlign w:val="center"/>
          </w:tcPr>
          <w:p>
            <w:pPr>
              <w:keepNext/>
              <w:keepLines/>
              <w:widowControl/>
              <w:spacing w:line="240" w:lineRule="auto"/>
              <w:ind w:firstLine="0" w:firstLineChars="0"/>
              <w:jc w:val="right"/>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用途</w:t>
            </w:r>
          </w:p>
          <w:p>
            <w:pPr>
              <w:keepNext/>
              <w:keepLines/>
              <w:widowControl/>
              <w:spacing w:line="240" w:lineRule="auto"/>
              <w:ind w:firstLine="0" w:firstLineChars="0"/>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级别</w:t>
            </w:r>
          </w:p>
        </w:tc>
        <w:tc>
          <w:tcPr>
            <w:tcW w:w="1581" w:type="pct"/>
            <w:tcBorders>
              <w:top w:val="single" w:color="auto" w:sz="4" w:space="0"/>
              <w:bottom w:val="single" w:color="auto" w:sz="4" w:space="0"/>
            </w:tcBorders>
            <w:noWrap/>
            <w:vAlign w:val="center"/>
          </w:tcPr>
          <w:p>
            <w:pPr>
              <w:keepNext/>
              <w:keepLines/>
              <w:widowControl/>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集体商服用地</w:t>
            </w:r>
          </w:p>
        </w:tc>
        <w:tc>
          <w:tcPr>
            <w:tcW w:w="1365" w:type="pct"/>
            <w:tcBorders>
              <w:top w:val="single" w:color="auto" w:sz="4" w:space="0"/>
              <w:bottom w:val="single" w:color="auto" w:sz="4" w:space="0"/>
            </w:tcBorders>
            <w:noWrap/>
            <w:vAlign w:val="center"/>
          </w:tcPr>
          <w:p>
            <w:pPr>
              <w:keepNext/>
              <w:keepLines/>
              <w:widowControl/>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宅基地</w:t>
            </w:r>
          </w:p>
        </w:tc>
        <w:tc>
          <w:tcPr>
            <w:tcW w:w="1304" w:type="pct"/>
            <w:tcBorders>
              <w:top w:val="single" w:color="auto" w:sz="4" w:space="0"/>
              <w:bottom w:val="single" w:color="auto" w:sz="4" w:space="0"/>
            </w:tcBorders>
            <w:noWrap/>
            <w:vAlign w:val="center"/>
          </w:tcPr>
          <w:p>
            <w:pPr>
              <w:keepNext/>
              <w:keepLines/>
              <w:widowControl/>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集体工业用地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blHeader/>
          <w:jc w:val="center"/>
        </w:trPr>
        <w:tc>
          <w:tcPr>
            <w:tcW w:w="749" w:type="pct"/>
            <w:vMerge w:val="continue"/>
            <w:tcBorders>
              <w:top w:val="single" w:color="auto" w:sz="4" w:space="0"/>
              <w:tl2br w:val="single" w:color="auto" w:sz="4" w:space="0"/>
            </w:tcBorders>
            <w:noWrap/>
            <w:vAlign w:val="center"/>
          </w:tcPr>
          <w:p>
            <w:pPr>
              <w:keepNext/>
              <w:keepLines/>
              <w:widowControl/>
              <w:spacing w:line="240" w:lineRule="auto"/>
              <w:ind w:firstLine="0" w:firstLineChars="0"/>
              <w:jc w:val="center"/>
              <w:rPr>
                <w:rFonts w:ascii="仿宋_GB2312" w:hAnsi="仿宋_GB2312" w:eastAsia="仿宋_GB2312" w:cs="仿宋_GB2312"/>
                <w:b/>
                <w:bCs/>
                <w:kern w:val="0"/>
                <w:sz w:val="24"/>
                <w:highlight w:val="none"/>
              </w:rPr>
            </w:pPr>
          </w:p>
        </w:tc>
        <w:tc>
          <w:tcPr>
            <w:tcW w:w="1581" w:type="pct"/>
            <w:tcBorders>
              <w:top w:val="single" w:color="auto" w:sz="4" w:space="0"/>
            </w:tcBorders>
            <w:noWrap/>
            <w:vAlign w:val="center"/>
          </w:tcPr>
          <w:p>
            <w:pPr>
              <w:keepNext/>
              <w:keepLines/>
              <w:widowControl/>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平均楼面地价</w:t>
            </w:r>
          </w:p>
        </w:tc>
        <w:tc>
          <w:tcPr>
            <w:tcW w:w="1365" w:type="pct"/>
            <w:tcBorders>
              <w:top w:val="single" w:color="auto" w:sz="4" w:space="0"/>
            </w:tcBorders>
            <w:noWrap/>
            <w:vAlign w:val="center"/>
          </w:tcPr>
          <w:p>
            <w:pPr>
              <w:keepNext/>
              <w:keepLines/>
              <w:widowControl/>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地面地价</w:t>
            </w:r>
          </w:p>
        </w:tc>
        <w:tc>
          <w:tcPr>
            <w:tcW w:w="1304" w:type="pct"/>
            <w:tcBorders>
              <w:top w:val="single" w:color="auto" w:sz="4" w:space="0"/>
            </w:tcBorders>
            <w:noWrap/>
            <w:vAlign w:val="center"/>
          </w:tcPr>
          <w:p>
            <w:pPr>
              <w:keepNext/>
              <w:keepLines/>
              <w:widowControl/>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地面地价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49" w:type="pct"/>
            <w:noWrap/>
            <w:vAlign w:val="center"/>
          </w:tcPr>
          <w:p>
            <w:pPr>
              <w:keepNext/>
              <w:keepLines/>
              <w:widowControl/>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一级</w:t>
            </w:r>
          </w:p>
        </w:tc>
        <w:tc>
          <w:tcPr>
            <w:tcW w:w="1581" w:type="pct"/>
            <w:noWrap/>
            <w:vAlign w:val="center"/>
          </w:tcPr>
          <w:p>
            <w:pPr>
              <w:widowControl/>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950</w:t>
            </w:r>
          </w:p>
        </w:tc>
        <w:tc>
          <w:tcPr>
            <w:tcW w:w="1365" w:type="pct"/>
            <w:noWrap/>
            <w:vAlign w:val="center"/>
          </w:tcPr>
          <w:p>
            <w:pPr>
              <w:widowControl/>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945</w:t>
            </w:r>
          </w:p>
        </w:tc>
        <w:tc>
          <w:tcPr>
            <w:tcW w:w="1304" w:type="pct"/>
            <w:noWrap/>
            <w:vAlign w:val="center"/>
          </w:tcPr>
          <w:p>
            <w:pPr>
              <w:widowControl/>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49" w:type="pct"/>
            <w:noWrap/>
            <w:vAlign w:val="center"/>
          </w:tcPr>
          <w:p>
            <w:pPr>
              <w:keepNext/>
              <w:keepLines/>
              <w:widowControl/>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二级</w:t>
            </w:r>
          </w:p>
        </w:tc>
        <w:tc>
          <w:tcPr>
            <w:tcW w:w="1581" w:type="pct"/>
            <w:noWrap/>
            <w:vAlign w:val="center"/>
          </w:tcPr>
          <w:p>
            <w:pPr>
              <w:widowControl/>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600</w:t>
            </w:r>
          </w:p>
        </w:tc>
        <w:tc>
          <w:tcPr>
            <w:tcW w:w="1365" w:type="pct"/>
            <w:noWrap/>
            <w:vAlign w:val="center"/>
          </w:tcPr>
          <w:p>
            <w:pPr>
              <w:widowControl/>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680</w:t>
            </w:r>
          </w:p>
        </w:tc>
        <w:tc>
          <w:tcPr>
            <w:tcW w:w="1304" w:type="pct"/>
            <w:noWrap/>
            <w:vAlign w:val="center"/>
          </w:tcPr>
          <w:p>
            <w:pPr>
              <w:widowControl/>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49" w:type="pct"/>
            <w:noWrap/>
            <w:vAlign w:val="center"/>
          </w:tcPr>
          <w:p>
            <w:pPr>
              <w:keepNext/>
              <w:keepLines/>
              <w:widowControl/>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三级</w:t>
            </w:r>
          </w:p>
        </w:tc>
        <w:tc>
          <w:tcPr>
            <w:tcW w:w="1581" w:type="pct"/>
            <w:noWrap/>
            <w:vAlign w:val="center"/>
          </w:tcPr>
          <w:p>
            <w:pPr>
              <w:widowControl/>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410</w:t>
            </w:r>
          </w:p>
        </w:tc>
        <w:tc>
          <w:tcPr>
            <w:tcW w:w="1365" w:type="pct"/>
            <w:noWrap/>
            <w:vAlign w:val="center"/>
          </w:tcPr>
          <w:p>
            <w:pPr>
              <w:widowControl/>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510</w:t>
            </w:r>
          </w:p>
        </w:tc>
        <w:tc>
          <w:tcPr>
            <w:tcW w:w="1304" w:type="pct"/>
            <w:noWrap/>
            <w:vAlign w:val="center"/>
          </w:tcPr>
          <w:p>
            <w:pPr>
              <w:widowControl/>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49" w:type="pct"/>
            <w:noWrap/>
            <w:vAlign w:val="center"/>
          </w:tcPr>
          <w:p>
            <w:pPr>
              <w:keepNext/>
              <w:keepLines/>
              <w:widowControl/>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四级</w:t>
            </w:r>
          </w:p>
        </w:tc>
        <w:tc>
          <w:tcPr>
            <w:tcW w:w="1581" w:type="pct"/>
            <w:noWrap/>
            <w:vAlign w:val="center"/>
          </w:tcPr>
          <w:p>
            <w:pPr>
              <w:widowControl/>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330</w:t>
            </w:r>
          </w:p>
        </w:tc>
        <w:tc>
          <w:tcPr>
            <w:tcW w:w="1365" w:type="pct"/>
            <w:noWrap/>
            <w:vAlign w:val="center"/>
          </w:tcPr>
          <w:p>
            <w:pPr>
              <w:widowControl/>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360</w:t>
            </w:r>
          </w:p>
        </w:tc>
        <w:tc>
          <w:tcPr>
            <w:tcW w:w="1304" w:type="pct"/>
            <w:noWrap/>
            <w:vAlign w:val="center"/>
          </w:tcPr>
          <w:p>
            <w:pPr>
              <w:widowControl/>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49" w:type="pct"/>
            <w:noWrap/>
            <w:vAlign w:val="center"/>
          </w:tcPr>
          <w:p>
            <w:pPr>
              <w:keepNext/>
              <w:keepLines/>
              <w:widowControl/>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五级</w:t>
            </w:r>
          </w:p>
        </w:tc>
        <w:tc>
          <w:tcPr>
            <w:tcW w:w="1581" w:type="pct"/>
            <w:noWrap/>
            <w:vAlign w:val="center"/>
          </w:tcPr>
          <w:p>
            <w:pPr>
              <w:widowControl/>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220</w:t>
            </w:r>
          </w:p>
        </w:tc>
        <w:tc>
          <w:tcPr>
            <w:tcW w:w="1365" w:type="pct"/>
            <w:noWrap/>
            <w:vAlign w:val="center"/>
          </w:tcPr>
          <w:p>
            <w:pPr>
              <w:widowControl/>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300</w:t>
            </w:r>
          </w:p>
        </w:tc>
        <w:tc>
          <w:tcPr>
            <w:tcW w:w="1304" w:type="pct"/>
            <w:noWrap/>
            <w:vAlign w:val="center"/>
          </w:tcPr>
          <w:p>
            <w:pPr>
              <w:widowControl/>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49" w:type="pct"/>
            <w:noWrap/>
            <w:vAlign w:val="center"/>
          </w:tcPr>
          <w:p>
            <w:pPr>
              <w:keepNext/>
              <w:keepLines/>
              <w:widowControl/>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六级</w:t>
            </w:r>
          </w:p>
        </w:tc>
        <w:tc>
          <w:tcPr>
            <w:tcW w:w="1581" w:type="pct"/>
            <w:noWrap/>
            <w:vAlign w:val="center"/>
          </w:tcPr>
          <w:p>
            <w:pPr>
              <w:widowControl/>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160</w:t>
            </w:r>
          </w:p>
        </w:tc>
        <w:tc>
          <w:tcPr>
            <w:tcW w:w="1365" w:type="pct"/>
            <w:noWrap/>
            <w:vAlign w:val="center"/>
          </w:tcPr>
          <w:p>
            <w:pPr>
              <w:widowControl/>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w:t>
            </w:r>
          </w:p>
        </w:tc>
        <w:tc>
          <w:tcPr>
            <w:tcW w:w="1304" w:type="pct"/>
            <w:noWrap/>
            <w:vAlign w:val="center"/>
          </w:tcPr>
          <w:p>
            <w:pPr>
              <w:widowControl/>
              <w:autoSpaceDE/>
              <w:autoSpaceDN/>
              <w:spacing w:afterAutospacing="1" w:line="360" w:lineRule="exact"/>
              <w:ind w:firstLine="0" w:firstLineChars="0"/>
              <w:jc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w:t>
            </w:r>
          </w:p>
        </w:tc>
      </w:tr>
    </w:tbl>
    <w:p>
      <w:pPr>
        <w:spacing w:line="240" w:lineRule="auto"/>
        <w:ind w:firstLine="406"/>
        <w:rPr>
          <w:rFonts w:ascii="仿宋_GB2312" w:hAnsi="仿宋_GB2312" w:eastAsia="仿宋_GB2312" w:cs="仿宋_GB2312"/>
          <w:b/>
          <w:bCs/>
          <w:spacing w:val="-2"/>
          <w:sz w:val="21"/>
          <w:szCs w:val="21"/>
          <w:highlight w:val="none"/>
        </w:rPr>
      </w:pPr>
      <w:r>
        <w:rPr>
          <w:rFonts w:hint="eastAsia" w:ascii="仿宋_GB2312" w:hAnsi="仿宋_GB2312" w:eastAsia="仿宋_GB2312" w:cs="仿宋_GB2312"/>
          <w:b/>
          <w:bCs/>
          <w:spacing w:val="-4"/>
          <w:sz w:val="21"/>
          <w:szCs w:val="21"/>
          <w:highlight w:val="none"/>
        </w:rPr>
        <w:t>注：</w:t>
      </w:r>
      <w:r>
        <w:rPr>
          <w:rFonts w:hint="eastAsia" w:ascii="仿宋_GB2312" w:hAnsi="仿宋_GB2312" w:eastAsia="仿宋_GB2312" w:cs="仿宋_GB2312"/>
          <w:b w:val="0"/>
          <w:bCs w:val="0"/>
          <w:spacing w:val="-4"/>
          <w:sz w:val="21"/>
          <w:szCs w:val="21"/>
          <w:highlight w:val="none"/>
          <w:lang w:eastAsia="zh-CN"/>
        </w:rPr>
        <w:t>（</w:t>
      </w:r>
      <w:r>
        <w:rPr>
          <w:rFonts w:hint="eastAsia" w:ascii="仿宋_GB2312" w:hAnsi="仿宋_GB2312" w:eastAsia="仿宋_GB2312" w:cs="仿宋_GB2312"/>
          <w:spacing w:val="-4"/>
          <w:sz w:val="21"/>
          <w:szCs w:val="21"/>
          <w:highlight w:val="none"/>
        </w:rPr>
        <w:t>1</w:t>
      </w:r>
      <w:r>
        <w:rPr>
          <w:rFonts w:hint="eastAsia" w:ascii="仿宋_GB2312" w:hAnsi="仿宋_GB2312" w:eastAsia="仿宋_GB2312" w:cs="仿宋_GB2312"/>
          <w:spacing w:val="-4"/>
          <w:sz w:val="21"/>
          <w:szCs w:val="21"/>
          <w:highlight w:val="none"/>
          <w:lang w:eastAsia="zh-CN"/>
        </w:rPr>
        <w:t>）</w:t>
      </w:r>
      <w:r>
        <w:rPr>
          <w:rFonts w:hint="eastAsia" w:ascii="仿宋_GB2312" w:hAnsi="仿宋_GB2312" w:eastAsia="仿宋_GB2312" w:cs="仿宋_GB2312"/>
          <w:spacing w:val="-4"/>
          <w:sz w:val="21"/>
          <w:szCs w:val="21"/>
          <w:highlight w:val="none"/>
        </w:rPr>
        <w:t>商服用地级别基准地价为设</w:t>
      </w:r>
      <w:r>
        <w:rPr>
          <w:rFonts w:hint="eastAsia" w:ascii="仿宋_GB2312" w:hAnsi="仿宋_GB2312" w:eastAsia="仿宋_GB2312" w:cs="仿宋_GB2312"/>
          <w:spacing w:val="-3"/>
          <w:sz w:val="21"/>
          <w:szCs w:val="21"/>
          <w:highlight w:val="none"/>
        </w:rPr>
        <w:t>定</w:t>
      </w:r>
      <w:r>
        <w:rPr>
          <w:rFonts w:hint="eastAsia" w:ascii="仿宋_GB2312" w:hAnsi="仿宋_GB2312" w:eastAsia="仿宋_GB2312" w:cs="仿宋_GB2312"/>
          <w:spacing w:val="-2"/>
          <w:sz w:val="21"/>
          <w:szCs w:val="21"/>
          <w:highlight w:val="none"/>
        </w:rPr>
        <w:t>容积率1.6的</w:t>
      </w:r>
      <w:r>
        <w:rPr>
          <w:rFonts w:hint="eastAsia" w:ascii="仿宋_GB2312" w:hAnsi="仿宋_GB2312" w:eastAsia="仿宋_GB2312" w:cs="仿宋_GB2312"/>
          <w:b/>
          <w:bCs/>
          <w:spacing w:val="-2"/>
          <w:sz w:val="21"/>
          <w:szCs w:val="21"/>
          <w:highlight w:val="none"/>
          <w:lang w:val="en-US" w:eastAsia="zh-CN"/>
        </w:rPr>
        <w:t>平均</w:t>
      </w:r>
      <w:r>
        <w:rPr>
          <w:rFonts w:hint="eastAsia" w:ascii="仿宋_GB2312" w:hAnsi="仿宋_GB2312" w:eastAsia="仿宋_GB2312" w:cs="仿宋_GB2312"/>
          <w:b/>
          <w:bCs/>
          <w:spacing w:val="-2"/>
          <w:sz w:val="21"/>
          <w:szCs w:val="21"/>
          <w:highlight w:val="none"/>
        </w:rPr>
        <w:t>楼面地价；</w:t>
      </w:r>
    </w:p>
    <w:p>
      <w:pPr>
        <w:spacing w:line="240" w:lineRule="auto"/>
        <w:ind w:firstLine="824" w:firstLineChars="400"/>
        <w:rPr>
          <w:rFonts w:ascii="仿宋_GB2312" w:hAnsi="仿宋_GB2312" w:eastAsia="仿宋_GB2312" w:cs="仿宋_GB2312"/>
          <w:spacing w:val="-5"/>
          <w:sz w:val="21"/>
          <w:szCs w:val="21"/>
          <w:highlight w:val="none"/>
        </w:rPr>
      </w:pPr>
      <w:r>
        <w:rPr>
          <w:rFonts w:hint="eastAsia" w:ascii="仿宋_GB2312" w:hAnsi="仿宋_GB2312" w:eastAsia="仿宋_GB2312" w:cs="仿宋_GB2312"/>
          <w:spacing w:val="-2"/>
          <w:sz w:val="21"/>
          <w:szCs w:val="21"/>
          <w:highlight w:val="none"/>
          <w:lang w:eastAsia="zh-CN"/>
        </w:rPr>
        <w:t>（</w:t>
      </w:r>
      <w:r>
        <w:rPr>
          <w:rFonts w:hint="eastAsia" w:ascii="仿宋_GB2312" w:hAnsi="仿宋_GB2312" w:eastAsia="仿宋_GB2312" w:cs="仿宋_GB2312"/>
          <w:spacing w:val="-2"/>
          <w:sz w:val="21"/>
          <w:szCs w:val="21"/>
          <w:highlight w:val="none"/>
        </w:rPr>
        <w:t>2</w:t>
      </w:r>
      <w:r>
        <w:rPr>
          <w:rFonts w:hint="eastAsia" w:ascii="仿宋_GB2312" w:hAnsi="仿宋_GB2312" w:eastAsia="仿宋_GB2312" w:cs="仿宋_GB2312"/>
          <w:spacing w:val="-2"/>
          <w:sz w:val="21"/>
          <w:szCs w:val="21"/>
          <w:highlight w:val="none"/>
          <w:lang w:eastAsia="zh-CN"/>
        </w:rPr>
        <w:t>）</w:t>
      </w:r>
      <w:r>
        <w:rPr>
          <w:rFonts w:hint="eastAsia" w:ascii="仿宋_GB2312" w:hAnsi="仿宋_GB2312" w:eastAsia="仿宋_GB2312" w:cs="仿宋_GB2312"/>
          <w:spacing w:val="-2"/>
          <w:sz w:val="21"/>
          <w:szCs w:val="21"/>
          <w:highlight w:val="none"/>
        </w:rPr>
        <w:t>住宅用地级别基准地价为设定</w:t>
      </w:r>
      <w:r>
        <w:rPr>
          <w:rFonts w:hint="eastAsia" w:ascii="仿宋_GB2312" w:hAnsi="仿宋_GB2312" w:eastAsia="仿宋_GB2312" w:cs="仿宋_GB2312"/>
          <w:spacing w:val="-10"/>
          <w:sz w:val="21"/>
          <w:szCs w:val="21"/>
          <w:highlight w:val="none"/>
        </w:rPr>
        <w:t>容积率2.5</w:t>
      </w:r>
      <w:r>
        <w:rPr>
          <w:rFonts w:hint="eastAsia" w:ascii="仿宋_GB2312" w:hAnsi="仿宋_GB2312" w:eastAsia="仿宋_GB2312" w:cs="仿宋_GB2312"/>
          <w:spacing w:val="-5"/>
          <w:sz w:val="21"/>
          <w:szCs w:val="21"/>
          <w:highlight w:val="none"/>
        </w:rPr>
        <w:t>的</w:t>
      </w:r>
      <w:r>
        <w:rPr>
          <w:rFonts w:hint="eastAsia" w:ascii="仿宋_GB2312" w:hAnsi="仿宋_GB2312" w:eastAsia="仿宋_GB2312" w:cs="仿宋_GB2312"/>
          <w:b/>
          <w:bCs/>
          <w:spacing w:val="-5"/>
          <w:sz w:val="21"/>
          <w:szCs w:val="21"/>
          <w:highlight w:val="none"/>
          <w:lang w:val="en-US" w:eastAsia="zh-CN"/>
        </w:rPr>
        <w:t>地</w:t>
      </w:r>
      <w:r>
        <w:rPr>
          <w:rFonts w:hint="eastAsia" w:ascii="仿宋_GB2312" w:hAnsi="仿宋_GB2312" w:eastAsia="仿宋_GB2312" w:cs="仿宋_GB2312"/>
          <w:b/>
          <w:bCs/>
          <w:spacing w:val="-5"/>
          <w:sz w:val="21"/>
          <w:szCs w:val="21"/>
          <w:highlight w:val="none"/>
        </w:rPr>
        <w:t>面地价</w:t>
      </w:r>
      <w:r>
        <w:rPr>
          <w:rFonts w:hint="eastAsia" w:ascii="仿宋_GB2312" w:hAnsi="仿宋_GB2312" w:eastAsia="仿宋_GB2312" w:cs="仿宋_GB2312"/>
          <w:spacing w:val="-5"/>
          <w:sz w:val="21"/>
          <w:szCs w:val="21"/>
          <w:highlight w:val="none"/>
        </w:rPr>
        <w:t>；</w:t>
      </w:r>
    </w:p>
    <w:p>
      <w:pPr>
        <w:spacing w:line="240" w:lineRule="auto"/>
        <w:ind w:firstLine="824" w:firstLineChars="400"/>
        <w:rPr>
          <w:rFonts w:hint="eastAsia" w:ascii="仿宋_GB2312" w:hAnsi="仿宋_GB2312" w:eastAsia="仿宋_GB2312" w:cs="仿宋_GB2312"/>
          <w:spacing w:val="-2"/>
          <w:sz w:val="21"/>
          <w:szCs w:val="21"/>
          <w:highlight w:val="none"/>
          <w:lang w:eastAsia="zh-CN"/>
        </w:rPr>
      </w:pPr>
      <w:r>
        <w:rPr>
          <w:rFonts w:hint="eastAsia" w:ascii="仿宋_GB2312" w:hAnsi="仿宋_GB2312" w:eastAsia="仿宋_GB2312" w:cs="仿宋_GB2312"/>
          <w:spacing w:val="-2"/>
          <w:sz w:val="21"/>
          <w:szCs w:val="21"/>
          <w:highlight w:val="none"/>
          <w:lang w:eastAsia="zh-CN"/>
        </w:rPr>
        <w:t>（</w:t>
      </w:r>
      <w:r>
        <w:rPr>
          <w:rFonts w:hint="eastAsia" w:ascii="仿宋_GB2312" w:hAnsi="仿宋_GB2312" w:eastAsia="仿宋_GB2312" w:cs="仿宋_GB2312"/>
          <w:spacing w:val="-2"/>
          <w:sz w:val="21"/>
          <w:szCs w:val="21"/>
          <w:highlight w:val="none"/>
        </w:rPr>
        <w:t>3</w:t>
      </w:r>
      <w:r>
        <w:rPr>
          <w:rFonts w:hint="eastAsia" w:ascii="仿宋_GB2312" w:hAnsi="仿宋_GB2312" w:eastAsia="仿宋_GB2312" w:cs="仿宋_GB2312"/>
          <w:spacing w:val="-2"/>
          <w:sz w:val="21"/>
          <w:szCs w:val="21"/>
          <w:highlight w:val="none"/>
          <w:lang w:eastAsia="zh-CN"/>
        </w:rPr>
        <w:t>）</w:t>
      </w:r>
      <w:r>
        <w:rPr>
          <w:rFonts w:hint="eastAsia" w:ascii="仿宋_GB2312" w:hAnsi="仿宋_GB2312" w:eastAsia="仿宋_GB2312" w:cs="仿宋_GB2312"/>
          <w:spacing w:val="-2"/>
          <w:sz w:val="21"/>
          <w:szCs w:val="21"/>
          <w:highlight w:val="none"/>
        </w:rPr>
        <w:t>工业用地级别基准地价为设定容积率1.0的</w:t>
      </w:r>
      <w:r>
        <w:rPr>
          <w:rFonts w:hint="eastAsia" w:ascii="仿宋_GB2312" w:hAnsi="仿宋_GB2312" w:eastAsia="仿宋_GB2312" w:cs="仿宋_GB2312"/>
          <w:b/>
          <w:bCs/>
          <w:spacing w:val="-2"/>
          <w:sz w:val="21"/>
          <w:szCs w:val="21"/>
          <w:highlight w:val="none"/>
        </w:rPr>
        <w:t>地面地价</w:t>
      </w:r>
      <w:r>
        <w:rPr>
          <w:rFonts w:hint="eastAsia" w:ascii="仿宋_GB2312" w:hAnsi="仿宋_GB2312" w:eastAsia="仿宋_GB2312" w:cs="仿宋_GB2312"/>
          <w:b/>
          <w:bCs/>
          <w:spacing w:val="-2"/>
          <w:sz w:val="21"/>
          <w:szCs w:val="21"/>
          <w:highlight w:val="none"/>
          <w:lang w:eastAsia="zh-CN"/>
        </w:rPr>
        <w:t>。</w:t>
      </w:r>
    </w:p>
    <w:p>
      <w:pPr>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楷体_GB2312" w:hAnsi="楷体_GB2312" w:eastAsia="楷体_GB2312" w:cs="楷体_GB2312"/>
          <w:b w:val="0"/>
          <w:bCs w:val="0"/>
          <w:snapToGrid w:val="0"/>
          <w:color w:val="000000"/>
          <w:kern w:val="0"/>
          <w:sz w:val="32"/>
          <w:szCs w:val="32"/>
          <w:highlight w:val="none"/>
          <w:lang w:val="en-US" w:eastAsia="zh-CN" w:bidi="ar"/>
        </w:rPr>
      </w:pPr>
      <w:bookmarkStart w:id="12" w:name="_Toc169097095"/>
      <w:r>
        <w:rPr>
          <w:rFonts w:hint="eastAsia" w:ascii="楷体_GB2312" w:hAnsi="楷体_GB2312" w:eastAsia="楷体_GB2312" w:cs="楷体_GB2312"/>
          <w:b w:val="0"/>
          <w:bCs w:val="0"/>
          <w:snapToGrid w:val="0"/>
          <w:color w:val="000000"/>
          <w:kern w:val="0"/>
          <w:sz w:val="32"/>
          <w:szCs w:val="32"/>
          <w:highlight w:val="none"/>
          <w:lang w:val="en-US" w:eastAsia="zh-CN" w:bidi="ar"/>
        </w:rPr>
        <w:t>（二）各用途级别范围</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韶关市曲江区2024年集体</w:t>
      </w:r>
      <w:r>
        <w:rPr>
          <w:rFonts w:hint="default" w:ascii="仿宋_GB2312" w:hAnsi="仿宋_GB2312" w:eastAsia="仿宋_GB2312" w:cs="仿宋_GB2312"/>
          <w:b w:val="0"/>
          <w:bCs w:val="0"/>
          <w:color w:val="auto"/>
          <w:kern w:val="28"/>
          <w:sz w:val="32"/>
          <w:szCs w:val="32"/>
          <w:highlight w:val="none"/>
          <w:lang w:val="en-US" w:eastAsia="zh-CN"/>
        </w:rPr>
        <w:t>商服用地基准地价级别范围</w:t>
      </w:r>
    </w:p>
    <w:p>
      <w:pPr>
        <w:widowControl/>
        <w:tabs>
          <w:tab w:val="left" w:pos="0"/>
        </w:tabs>
        <w:autoSpaceDE/>
        <w:autoSpaceDN/>
        <w:adjustRightInd w:val="0"/>
        <w:snapToGrid w:val="0"/>
        <w:spacing w:line="240" w:lineRule="auto"/>
        <w:ind w:left="280" w:firstLine="0" w:firstLineChars="0"/>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lang w:eastAsia="zh-CN"/>
        </w:rPr>
        <w:t>（</w:t>
      </w:r>
      <w:r>
        <w:rPr>
          <w:rFonts w:hint="eastAsia" w:ascii="仿宋_GB2312" w:hAnsi="仿宋_GB2312" w:eastAsia="仿宋_GB2312" w:cs="仿宋_GB2312"/>
          <w:bCs/>
          <w:sz w:val="24"/>
          <w:highlight w:val="none"/>
        </w:rPr>
        <w:t>以下级别范围描述仅供参考，具体级别范围以基准地价级别图为准</w:t>
      </w:r>
      <w:r>
        <w:rPr>
          <w:rFonts w:hint="eastAsia" w:ascii="仿宋_GB2312" w:hAnsi="仿宋_GB2312" w:eastAsia="仿宋_GB2312" w:cs="仿宋_GB2312"/>
          <w:bCs/>
          <w:sz w:val="24"/>
          <w:highlight w:val="none"/>
          <w:lang w:eastAsia="zh-CN"/>
        </w:rPr>
        <w:t>）</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Align w:val="center"/>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级别</w:t>
            </w:r>
          </w:p>
        </w:tc>
        <w:tc>
          <w:tcPr>
            <w:tcW w:w="4399" w:type="pct"/>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00" w:type="pct"/>
            <w:vAlign w:val="center"/>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一级</w:t>
            </w:r>
          </w:p>
        </w:tc>
        <w:tc>
          <w:tcPr>
            <w:tcW w:w="4399" w:type="pct"/>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由以下线路围合而成：</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马坝大道</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沿堤二路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京广铁路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曲江大道</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文化路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马鞍山、太阳山南侧</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阳岗北路（规划路）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环山北路；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Align w:val="center"/>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二级</w:t>
            </w:r>
          </w:p>
        </w:tc>
        <w:tc>
          <w:tcPr>
            <w:tcW w:w="4399" w:type="pct"/>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除上述级别范围外，由以下线路围合而成的区域：</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南韶高速-马坝河-龙岗村委-风度大道南（规划路）-G240国道-狮岩路-京广铁路-马坝河-马坝大道-环山北路-马鞍山、太阳山南北侧-曲江大道；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Align w:val="center"/>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三级</w:t>
            </w:r>
          </w:p>
        </w:tc>
        <w:tc>
          <w:tcPr>
            <w:tcW w:w="4399" w:type="pct"/>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除上述级别范围外，由以下线路围合而成的区域：</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乐广高速白土段</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刘屋互通</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南韶高速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马坝立交</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京港澳高速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南华村</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演山村</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马坝城东</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－松山街道－</w:t>
            </w:r>
            <w:r>
              <w:rPr>
                <w:rFonts w:hint="eastAsia" w:ascii="仿宋_GB2312" w:hAnsi="仿宋_GB2312" w:eastAsia="仿宋_GB2312" w:cs="仿宋_GB2312"/>
                <w:color w:val="000000" w:themeColor="text1"/>
                <w:sz w:val="24"/>
                <w:highlight w:val="none"/>
                <w14:textFill>
                  <w14:solidFill>
                    <w14:schemeClr w14:val="tx1"/>
                  </w14:solidFill>
                </w14:textFill>
              </w:rPr>
              <w:t>106国道大塘段</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大塘镇工业园；</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火山镇原镇区；白沙镇原镇区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00" w:type="pct"/>
            <w:vAlign w:val="center"/>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四级</w:t>
            </w:r>
          </w:p>
        </w:tc>
        <w:tc>
          <w:tcPr>
            <w:tcW w:w="4399" w:type="pct"/>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除上述级别范围外，由以下线路围合而成的区域：</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G106国道沙溪段两侧</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沙溪镇镇区</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沙乌工业园</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京港澳高速沙溪段；</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G240乌石段</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乌石火力发电厂</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乌石镇镇区；</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G240乌石段</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大坑口镇原镇区；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Align w:val="center"/>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五级</w:t>
            </w:r>
          </w:p>
        </w:tc>
        <w:tc>
          <w:tcPr>
            <w:tcW w:w="4399" w:type="pct"/>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除上述级别范围外，由以下线路围合而成的区域：</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白土镇乐广高速以南区域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白土港以南</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马坝镇京港澳高速以南</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马坝镇山区</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乌石镇除四级以外区域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沙溪镇除四级以外区域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大塘镇除三级以外区域；</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枫湾镇镇区；小坑镇镇区；樟市镇镇区；罗坑镇镇区；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Align w:val="center"/>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六级</w:t>
            </w:r>
          </w:p>
        </w:tc>
        <w:tc>
          <w:tcPr>
            <w:tcW w:w="4399" w:type="pct"/>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除上述级别外，本次评估范围内的其他区域。</w:t>
            </w:r>
          </w:p>
        </w:tc>
      </w:tr>
    </w:tbl>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韶关市曲江区2024年宅基</w:t>
      </w:r>
      <w:r>
        <w:rPr>
          <w:rFonts w:hint="default" w:ascii="仿宋_GB2312" w:hAnsi="仿宋_GB2312" w:eastAsia="仿宋_GB2312" w:cs="仿宋_GB2312"/>
          <w:b w:val="0"/>
          <w:bCs w:val="0"/>
          <w:color w:val="auto"/>
          <w:kern w:val="28"/>
          <w:sz w:val="32"/>
          <w:szCs w:val="32"/>
          <w:highlight w:val="none"/>
          <w:lang w:val="en-US" w:eastAsia="zh-CN"/>
        </w:rPr>
        <w:t>地基准地价级别范围</w:t>
      </w:r>
    </w:p>
    <w:p>
      <w:pPr>
        <w:widowControl/>
        <w:tabs>
          <w:tab w:val="left" w:pos="0"/>
        </w:tabs>
        <w:autoSpaceDE/>
        <w:autoSpaceDN/>
        <w:adjustRightInd w:val="0"/>
        <w:snapToGrid w:val="0"/>
        <w:spacing w:line="240" w:lineRule="auto"/>
        <w:ind w:left="280" w:firstLine="0" w:firstLineChars="0"/>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（以下级别范围描述仅供参考，具体级别范围以基准地价级别图为准）</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7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pct"/>
            <w:vAlign w:val="center"/>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级别</w:t>
            </w:r>
          </w:p>
        </w:tc>
        <w:tc>
          <w:tcPr>
            <w:tcW w:w="4392" w:type="pct"/>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pct"/>
            <w:vAlign w:val="center"/>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一级</w:t>
            </w:r>
          </w:p>
        </w:tc>
        <w:tc>
          <w:tcPr>
            <w:tcW w:w="4392" w:type="pct"/>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由以下线路围合而成：</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马坝大道</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沿堤二路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京广铁路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曲江大道</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文化路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马鞍山、太阳山南侧</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阳岗北路（规划路）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环山北路；</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韶南大道</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城南大道</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矮石路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狮岩路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京广铁路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pct"/>
            <w:vAlign w:val="center"/>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二级</w:t>
            </w:r>
          </w:p>
        </w:tc>
        <w:tc>
          <w:tcPr>
            <w:tcW w:w="4392" w:type="pct"/>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除上述级别范围外，由以下线路围合而成的区域：</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南韶高速-马坝河--龙岗村委-风度大道南（规划路）-G240国道-狮岩路-韶南大道-曲江区高级中学-南华大道两侧-S244省道两侧-马坝城东-韶钢-马坝镇界-莲花大道-山子背村；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pct"/>
            <w:vAlign w:val="center"/>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三级</w:t>
            </w:r>
          </w:p>
        </w:tc>
        <w:tc>
          <w:tcPr>
            <w:tcW w:w="4392" w:type="pct"/>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除上述级别范围外，由以下线路围合而成的区域：</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乐广高速白土段</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刘屋互通</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南韶高速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马坝立交</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京港澳高速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南华村</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演山村</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马坝城东</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－松山街道－</w:t>
            </w:r>
            <w:r>
              <w:rPr>
                <w:rFonts w:hint="eastAsia" w:ascii="仿宋_GB2312" w:hAnsi="仿宋_GB2312" w:eastAsia="仿宋_GB2312" w:cs="仿宋_GB2312"/>
                <w:color w:val="000000" w:themeColor="text1"/>
                <w:sz w:val="24"/>
                <w:highlight w:val="none"/>
                <w14:textFill>
                  <w14:solidFill>
                    <w14:schemeClr w14:val="tx1"/>
                  </w14:solidFill>
                </w14:textFill>
              </w:rPr>
              <w:t>106国道大塘段</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大塘镇工业园；</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G106国道沙溪段两侧</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沙溪镇镇区</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沙乌工业园</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京港澳高速沙溪段；</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G240乌石段</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乌石火力发电厂</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乌石镇镇区；</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G240乌石段</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大坑口镇原镇区；</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火山镇原镇区；白沙镇原镇区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07" w:type="pct"/>
            <w:vAlign w:val="center"/>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四级</w:t>
            </w:r>
          </w:p>
        </w:tc>
        <w:tc>
          <w:tcPr>
            <w:tcW w:w="4392" w:type="pct"/>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除上述级别范围外，由以下线路围合而成的区域：</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白土镇乐广高速以南区域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白土港以南</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马坝镇京港澳高速以南</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马坝镇山区</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乌石镇除四级以外区域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沙溪镇除四级以外区域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大塘镇除三级以外区域；</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枫湾镇镇区；小坑镇镇区；樟市镇镇区；罗坑镇镇区；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pct"/>
            <w:vAlign w:val="center"/>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五级</w:t>
            </w:r>
          </w:p>
        </w:tc>
        <w:tc>
          <w:tcPr>
            <w:tcW w:w="4392" w:type="pct"/>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除上述级别外，本次评估范围内的其他区域。</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ind w:leftChars="0"/>
        <w:jc w:val="both"/>
        <w:textAlignment w:val="auto"/>
        <w:rPr>
          <w:rFonts w:hint="default" w:ascii="Wingdings" w:hAnsi="Wingdings" w:cs="Wingdings"/>
          <w:b/>
          <w:bCs/>
          <w:color w:val="auto"/>
          <w:sz w:val="24"/>
          <w:szCs w:val="22"/>
          <w:highlight w:val="none"/>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韶关市曲江区2024年集体</w:t>
      </w:r>
      <w:r>
        <w:rPr>
          <w:rFonts w:hint="default" w:ascii="仿宋_GB2312" w:hAnsi="仿宋_GB2312" w:eastAsia="仿宋_GB2312" w:cs="仿宋_GB2312"/>
          <w:b w:val="0"/>
          <w:bCs w:val="0"/>
          <w:color w:val="auto"/>
          <w:kern w:val="28"/>
          <w:sz w:val="32"/>
          <w:szCs w:val="32"/>
          <w:highlight w:val="none"/>
          <w:lang w:val="en-US" w:eastAsia="zh-CN"/>
        </w:rPr>
        <w:t>工业用地基准地价级别范围</w:t>
      </w:r>
    </w:p>
    <w:p>
      <w:pPr>
        <w:widowControl/>
        <w:tabs>
          <w:tab w:val="left" w:pos="0"/>
        </w:tabs>
        <w:autoSpaceDE/>
        <w:autoSpaceDN/>
        <w:adjustRightInd w:val="0"/>
        <w:snapToGrid w:val="0"/>
        <w:spacing w:line="240" w:lineRule="auto"/>
        <w:ind w:left="280" w:firstLine="0" w:firstLineChars="0"/>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（以下级别范围描述仅供参考，具体级别范围以基准地价级别图为准）</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7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pct"/>
            <w:vAlign w:val="center"/>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级别</w:t>
            </w:r>
          </w:p>
        </w:tc>
        <w:tc>
          <w:tcPr>
            <w:tcW w:w="4267" w:type="pct"/>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pct"/>
            <w:vAlign w:val="center"/>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一级</w:t>
            </w:r>
          </w:p>
        </w:tc>
        <w:tc>
          <w:tcPr>
            <w:tcW w:w="4267" w:type="pct"/>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由以下线路围合而成：</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马坝大道</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沿堤二路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京广铁路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曲江大道</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文化路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马鞍山、太阳山南侧</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阳岗北路（规划路）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环山北路；</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韶南大道</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城南大道</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矮石路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狮岩路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京广铁路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pct"/>
            <w:vAlign w:val="center"/>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二级</w:t>
            </w:r>
          </w:p>
        </w:tc>
        <w:tc>
          <w:tcPr>
            <w:tcW w:w="4267" w:type="pct"/>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除上述级别范围外，由以下线路围合而成的区域：</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南韶高速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曲江大道</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前程路（规划路）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下何路（规划路）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狮岩北路（规划路）</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狮岩路-S240国道</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曲江区高级中学</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南华大道两侧</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S244省道两侧</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马坝城东</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－松山街道－</w:t>
            </w:r>
            <w:r>
              <w:rPr>
                <w:rFonts w:hint="eastAsia" w:ascii="仿宋_GB2312" w:hAnsi="仿宋_GB2312" w:eastAsia="仿宋_GB2312" w:cs="仿宋_GB2312"/>
                <w:color w:val="000000" w:themeColor="text1"/>
                <w:sz w:val="24"/>
                <w:highlight w:val="none"/>
                <w14:textFill>
                  <w14:solidFill>
                    <w14:schemeClr w14:val="tx1"/>
                  </w14:solidFill>
                </w14:textFill>
              </w:rPr>
              <w:t>马坝镇界</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莲花大道</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山子背村；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32" w:type="pct"/>
            <w:vAlign w:val="center"/>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三级</w:t>
            </w:r>
          </w:p>
        </w:tc>
        <w:tc>
          <w:tcPr>
            <w:tcW w:w="4267" w:type="pct"/>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除上述级别范围外，由以下线路围合而成的区域：</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乐广高速白土段</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刘屋互通</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南韶高速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马坝立交</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京港澳高速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南华村</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演山村</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马坝城东</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－松山街道－</w:t>
            </w:r>
            <w:r>
              <w:rPr>
                <w:rFonts w:hint="eastAsia" w:ascii="仿宋_GB2312" w:hAnsi="仿宋_GB2312" w:eastAsia="仿宋_GB2312" w:cs="仿宋_GB2312"/>
                <w:color w:val="000000" w:themeColor="text1"/>
                <w:sz w:val="24"/>
                <w:highlight w:val="none"/>
                <w14:textFill>
                  <w14:solidFill>
                    <w14:schemeClr w14:val="tx1"/>
                  </w14:solidFill>
                </w14:textFill>
              </w:rPr>
              <w:t>106国道大塘段</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大塘镇工业园；</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G106国道沙溪段两侧</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沙溪镇镇区</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沙乌工业园</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京港澳高速沙溪段；</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G240乌石段</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乌石火力发电厂</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乌石镇镇区；</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G240乌石段</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大坑口镇原镇区；</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火山镇原镇区；白沙镇原镇区；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32" w:type="pct"/>
            <w:vAlign w:val="center"/>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四级</w:t>
            </w:r>
          </w:p>
        </w:tc>
        <w:tc>
          <w:tcPr>
            <w:tcW w:w="4267" w:type="pct"/>
            <w:shd w:val="clear" w:color="auto" w:fill="auto"/>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除上述级别范围外，由以下线路围合而成的区域：</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白土镇乐广高速以南区域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白土港以南</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马坝镇京港澳高速以南</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马坝镇山区</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乌石镇除四级以外区域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沙溪镇除四级以外区域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大塘镇除三级以外区域；</w:t>
            </w:r>
          </w:p>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textAlignment w:val="auto"/>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枫湾镇镇区；小坑镇镇区；樟市镇镇区；罗坑镇镇区；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32" w:type="pct"/>
            <w:vAlign w:val="center"/>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center"/>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五级</w:t>
            </w:r>
          </w:p>
        </w:tc>
        <w:tc>
          <w:tcPr>
            <w:tcW w:w="4267" w:type="pct"/>
            <w:shd w:val="clear" w:color="auto" w:fill="auto"/>
          </w:tcPr>
          <w:p>
            <w:pPr>
              <w:pStyle w:val="6"/>
              <w:keepNext w:val="0"/>
              <w:keepLines w:val="0"/>
              <w:pageBreakBefore w:val="0"/>
              <w:widowControl w:val="0"/>
              <w:kinsoku/>
              <w:wordWrap/>
              <w:overflowPunct/>
              <w:topLinePunct w:val="0"/>
              <w:autoSpaceDE/>
              <w:autoSpaceDN/>
              <w:bidi w:val="0"/>
              <w:adjustRightInd/>
              <w:snapToGrid/>
              <w:spacing w:before="93" w:beforeLines="30" w:after="93" w:afterLines="30" w:line="240" w:lineRule="auto"/>
              <w:ind w:firstLine="0" w:firstLineChars="0"/>
              <w:jc w:val="left"/>
              <w:textAlignment w:val="auto"/>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除上述级别外，本次评估范围内的其他区域。</w:t>
            </w:r>
          </w:p>
        </w:tc>
      </w:tr>
      <w:bookmarkEnd w:id="12"/>
    </w:tbl>
    <w:p>
      <w:pPr>
        <w:numPr>
          <w:ilvl w:val="0"/>
          <w:numId w:val="0"/>
        </w:numPr>
        <w:bidi w:val="0"/>
        <w:spacing w:line="240" w:lineRule="auto"/>
        <w:ind w:firstLine="640" w:firstLineChars="200"/>
        <w:rPr>
          <w:rFonts w:hint="eastAsia" w:ascii="黑体" w:hAnsi="黑体" w:eastAsia="黑体" w:cs="黑体"/>
          <w:b w:val="0"/>
          <w:bCs w:val="0"/>
          <w:color w:val="auto"/>
          <w:kern w:val="48"/>
          <w:sz w:val="32"/>
          <w:szCs w:val="30"/>
          <w:highlight w:val="none"/>
          <w:lang w:val="en-US" w:eastAsia="zh-CN"/>
        </w:rPr>
      </w:pPr>
      <w:bookmarkStart w:id="13" w:name="_Toc503165714"/>
      <w:bookmarkStart w:id="14" w:name="_Toc450658929"/>
      <w:bookmarkStart w:id="15" w:name="_Toc452902500"/>
      <w:bookmarkStart w:id="16" w:name="_Toc169097104"/>
      <w:bookmarkStart w:id="17" w:name="_Toc469663637"/>
      <w:bookmarkStart w:id="18" w:name="_Toc452903213"/>
      <w:bookmarkStart w:id="19" w:name="_Toc469393657"/>
      <w:bookmarkStart w:id="20" w:name="_Toc458433553"/>
      <w:bookmarkStart w:id="21" w:name="_Toc452903083"/>
      <w:bookmarkStart w:id="22" w:name="_Toc452902418"/>
      <w:bookmarkStart w:id="23" w:name="_Toc501510288"/>
      <w:bookmarkStart w:id="24" w:name="_Toc452902282"/>
      <w:r>
        <w:rPr>
          <w:rFonts w:hint="eastAsia" w:ascii="黑体" w:hAnsi="黑体" w:eastAsia="黑体" w:cs="黑体"/>
          <w:b w:val="0"/>
          <w:bCs w:val="0"/>
          <w:color w:val="auto"/>
          <w:kern w:val="48"/>
          <w:sz w:val="32"/>
          <w:szCs w:val="30"/>
          <w:highlight w:val="none"/>
          <w:lang w:val="en-US" w:eastAsia="zh-CN"/>
        </w:rPr>
        <w:t>四、各用途基准地价修正体系</w:t>
      </w:r>
      <w:bookmarkEnd w:id="13"/>
      <w:bookmarkEnd w:id="14"/>
      <w:bookmarkEnd w:id="15"/>
      <w:bookmarkEnd w:id="16"/>
      <w:bookmarkEnd w:id="17"/>
      <w:bookmarkEnd w:id="18"/>
      <w:bookmarkEnd w:id="19"/>
      <w:bookmarkEnd w:id="20"/>
      <w:bookmarkEnd w:id="21"/>
      <w:bookmarkEnd w:id="22"/>
      <w:bookmarkEnd w:id="23"/>
      <w:bookmarkEnd w:id="24"/>
    </w:p>
    <w:p>
      <w:pPr>
        <w:pStyle w:val="3"/>
        <w:keepNext w:val="0"/>
        <w:keepLines w:val="0"/>
        <w:pageBreakBefore w:val="0"/>
        <w:widowControl w:val="0"/>
        <w:tabs>
          <w:tab w:val="left" w:pos="4680"/>
        </w:tabs>
        <w:kinsoku/>
        <w:wordWrap/>
        <w:overflowPunct/>
        <w:topLinePunct w:val="0"/>
        <w:autoSpaceDE/>
        <w:autoSpaceDN/>
        <w:bidi w:val="0"/>
        <w:spacing w:before="0" w:after="0" w:line="560" w:lineRule="exact"/>
        <w:ind w:firstLine="640" w:firstLineChars="200"/>
        <w:textAlignment w:val="auto"/>
        <w:rPr>
          <w:rFonts w:hint="eastAsia" w:ascii="楷体_GB2312" w:hAnsi="楷体_GB2312" w:eastAsia="楷体_GB2312" w:cs="楷体_GB2312"/>
          <w:b w:val="0"/>
          <w:bCs w:val="0"/>
          <w:highlight w:val="none"/>
        </w:rPr>
      </w:pPr>
      <w:bookmarkStart w:id="25" w:name="_Toc515465792"/>
      <w:bookmarkStart w:id="26" w:name="_Toc527100782"/>
      <w:bookmarkStart w:id="27" w:name="_Toc169097105"/>
      <w:bookmarkStart w:id="28" w:name="_Toc503369465"/>
      <w:bookmarkStart w:id="29" w:name="_Toc501069266"/>
      <w:r>
        <w:rPr>
          <w:rFonts w:hint="eastAsia" w:ascii="楷体_GB2312" w:hAnsi="楷体_GB2312" w:eastAsia="楷体_GB2312" w:cs="楷体_GB2312"/>
          <w:b w:val="0"/>
          <w:bCs w:val="0"/>
          <w:iCs/>
          <w:color w:val="000000"/>
          <w:sz w:val="32"/>
          <w:szCs w:val="32"/>
          <w:highlight w:val="none"/>
          <w:lang w:eastAsia="zh-CN"/>
        </w:rPr>
        <w:t>（</w:t>
      </w:r>
      <w:r>
        <w:rPr>
          <w:rFonts w:hint="eastAsia" w:ascii="楷体_GB2312" w:hAnsi="楷体_GB2312" w:eastAsia="楷体_GB2312" w:cs="楷体_GB2312"/>
          <w:b w:val="0"/>
          <w:bCs w:val="0"/>
          <w:iCs/>
          <w:color w:val="000000"/>
          <w:sz w:val="32"/>
          <w:szCs w:val="32"/>
          <w:highlight w:val="none"/>
          <w:lang w:val="en-US" w:eastAsia="zh-CN"/>
        </w:rPr>
        <w:t>一</w:t>
      </w:r>
      <w:r>
        <w:rPr>
          <w:rFonts w:hint="eastAsia" w:ascii="楷体_GB2312" w:hAnsi="楷体_GB2312" w:eastAsia="楷体_GB2312" w:cs="楷体_GB2312"/>
          <w:b w:val="0"/>
          <w:bCs w:val="0"/>
          <w:iCs/>
          <w:color w:val="000000"/>
          <w:sz w:val="32"/>
          <w:szCs w:val="32"/>
          <w:highlight w:val="none"/>
          <w:lang w:eastAsia="zh-CN"/>
        </w:rPr>
        <w:t>）</w:t>
      </w:r>
      <w:r>
        <w:rPr>
          <w:rFonts w:hint="eastAsia" w:ascii="楷体_GB2312" w:hAnsi="楷体_GB2312" w:eastAsia="楷体_GB2312" w:cs="楷体_GB2312"/>
          <w:b w:val="0"/>
          <w:bCs w:val="0"/>
          <w:iCs/>
          <w:color w:val="000000"/>
          <w:sz w:val="32"/>
          <w:szCs w:val="32"/>
          <w:highlight w:val="none"/>
          <w:lang w:val="en-US" w:eastAsia="zh-CN"/>
        </w:rPr>
        <w:t>集体商服用地</w:t>
      </w:r>
      <w:bookmarkEnd w:id="25"/>
      <w:bookmarkEnd w:id="26"/>
      <w:bookmarkEnd w:id="27"/>
      <w:bookmarkEnd w:id="28"/>
      <w:bookmarkEnd w:id="29"/>
      <w:r>
        <w:rPr>
          <w:rFonts w:hint="eastAsia" w:ascii="楷体_GB2312" w:hAnsi="楷体_GB2312" w:eastAsia="楷体_GB2312" w:cs="楷体_GB2312"/>
          <w:b w:val="0"/>
          <w:bCs w:val="0"/>
          <w:highlight w:val="none"/>
        </w:rPr>
        <w:t>修正体系</w:t>
      </w:r>
    </w:p>
    <w:p>
      <w:pPr>
        <w:pStyle w:val="28"/>
        <w:keepNext w:val="0"/>
        <w:keepLines w:val="0"/>
        <w:pageBreakBefore w:val="0"/>
        <w:widowControl/>
        <w:numPr>
          <w:ilvl w:val="0"/>
          <w:numId w:val="2"/>
        </w:numPr>
        <w:kinsoku/>
        <w:wordWrap/>
        <w:overflowPunct/>
        <w:topLinePunct w:val="0"/>
        <w:autoSpaceDE/>
        <w:autoSpaceDN/>
        <w:bidi w:val="0"/>
        <w:adjustRightInd/>
        <w:snapToGrid/>
        <w:ind w:left="0"/>
        <w:textAlignment w:val="auto"/>
        <w:rPr>
          <w:rFonts w:hint="eastAsia" w:ascii="仿宋_GB2312" w:hAnsi="仿宋_GB2312" w:eastAsia="仿宋_GB2312" w:cs="仿宋_GB2312"/>
          <w:b w:val="0"/>
          <w:bCs w:val="0"/>
          <w:sz w:val="32"/>
          <w:szCs w:val="32"/>
          <w:highlight w:val="none"/>
        </w:rPr>
      </w:pPr>
      <w:bookmarkStart w:id="30" w:name="_Toc10672"/>
      <w:bookmarkStart w:id="31" w:name="_Toc169097122"/>
      <w:bookmarkStart w:id="32" w:name="_Toc144741978"/>
      <w:bookmarkStart w:id="33" w:name="_Toc469663638"/>
      <w:bookmarkStart w:id="34" w:name="_Toc534585199"/>
      <w:bookmarkStart w:id="35" w:name="_Toc469393658"/>
      <w:r>
        <w:rPr>
          <w:rFonts w:hint="eastAsia" w:ascii="仿宋_GB2312" w:hAnsi="仿宋_GB2312" w:eastAsia="仿宋_GB2312" w:cs="仿宋_GB2312"/>
          <w:b w:val="0"/>
          <w:bCs w:val="0"/>
          <w:sz w:val="32"/>
          <w:szCs w:val="32"/>
          <w:highlight w:val="none"/>
          <w:lang w:val="en-US" w:eastAsia="zh-CN"/>
        </w:rPr>
        <w:t>集体</w:t>
      </w:r>
      <w:r>
        <w:rPr>
          <w:rFonts w:hint="eastAsia" w:ascii="仿宋_GB2312" w:hAnsi="仿宋_GB2312" w:eastAsia="仿宋_GB2312" w:cs="仿宋_GB2312"/>
          <w:b w:val="0"/>
          <w:bCs w:val="0"/>
          <w:sz w:val="32"/>
          <w:szCs w:val="32"/>
          <w:highlight w:val="none"/>
        </w:rPr>
        <w:t>商服用地区域因素修正</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集体</w:t>
      </w:r>
      <w:r>
        <w:rPr>
          <w:rFonts w:hint="default" w:ascii="仿宋_GB2312" w:hAnsi="仿宋_GB2312" w:eastAsia="仿宋_GB2312" w:cs="仿宋_GB2312"/>
          <w:b w:val="0"/>
          <w:bCs w:val="0"/>
          <w:color w:val="auto"/>
          <w:kern w:val="28"/>
          <w:sz w:val="32"/>
          <w:szCs w:val="32"/>
          <w:highlight w:val="none"/>
          <w:lang w:val="en-US" w:eastAsia="zh-CN"/>
        </w:rPr>
        <w:t>商服用地区域因素修正系数表（一级）</w:t>
      </w:r>
    </w:p>
    <w:tbl>
      <w:tblPr>
        <w:tblStyle w:val="15"/>
        <w:tblW w:w="8931" w:type="dxa"/>
        <w:jc w:val="center"/>
        <w:tblLayout w:type="autofit"/>
        <w:tblCellMar>
          <w:top w:w="0" w:type="dxa"/>
          <w:left w:w="108" w:type="dxa"/>
          <w:bottom w:w="0" w:type="dxa"/>
          <w:right w:w="108" w:type="dxa"/>
        </w:tblCellMar>
      </w:tblPr>
      <w:tblGrid>
        <w:gridCol w:w="1224"/>
        <w:gridCol w:w="1541"/>
        <w:gridCol w:w="1541"/>
        <w:gridCol w:w="1541"/>
        <w:gridCol w:w="1541"/>
        <w:gridCol w:w="1543"/>
      </w:tblGrid>
      <w:tr>
        <w:tblPrEx>
          <w:tblCellMar>
            <w:top w:w="0" w:type="dxa"/>
            <w:left w:w="108" w:type="dxa"/>
            <w:bottom w:w="0" w:type="dxa"/>
            <w:right w:w="108" w:type="dxa"/>
          </w:tblCellMar>
        </w:tblPrEx>
        <w:trPr>
          <w:trHeight w:val="340" w:hRule="atLeast"/>
          <w:tblHeader/>
          <w:jc w:val="center"/>
        </w:trPr>
        <w:tc>
          <w:tcPr>
            <w:tcW w:w="1224"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autoSpaceDE/>
              <w:autoSpaceDN/>
              <w:adjustRightInd w:val="0"/>
              <w:snapToGrid w:val="0"/>
              <w:spacing w:line="240" w:lineRule="auto"/>
              <w:ind w:firstLine="0" w:firstLineChars="0"/>
              <w:jc w:val="right"/>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优劣度</w:t>
            </w:r>
          </w:p>
          <w:p>
            <w:pPr>
              <w:widowControl/>
              <w:autoSpaceDE/>
              <w:autoSpaceDN/>
              <w:adjustRightInd w:val="0"/>
              <w:snapToGrid w:val="0"/>
              <w:spacing w:line="240" w:lineRule="auto"/>
              <w:ind w:firstLine="0" w:firstLineChars="0"/>
              <w:jc w:val="left"/>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因素</w:t>
            </w:r>
          </w:p>
        </w:tc>
        <w:tc>
          <w:tcPr>
            <w:tcW w:w="15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优</w:t>
            </w:r>
          </w:p>
        </w:tc>
        <w:tc>
          <w:tcPr>
            <w:tcW w:w="15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较优</w:t>
            </w:r>
          </w:p>
        </w:tc>
        <w:tc>
          <w:tcPr>
            <w:tcW w:w="15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一般</w:t>
            </w:r>
          </w:p>
        </w:tc>
        <w:tc>
          <w:tcPr>
            <w:tcW w:w="15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较劣</w:t>
            </w:r>
          </w:p>
        </w:tc>
        <w:tc>
          <w:tcPr>
            <w:tcW w:w="15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劣</w:t>
            </w:r>
          </w:p>
        </w:tc>
      </w:tr>
      <w:tr>
        <w:tblPrEx>
          <w:tblCellMar>
            <w:top w:w="0" w:type="dxa"/>
            <w:left w:w="108" w:type="dxa"/>
            <w:bottom w:w="0" w:type="dxa"/>
            <w:right w:w="108" w:type="dxa"/>
          </w:tblCellMar>
        </w:tblPrEx>
        <w:trPr>
          <w:trHeight w:val="340" w:hRule="atLeast"/>
          <w:tblHeader/>
          <w:jc w:val="center"/>
        </w:trPr>
        <w:tc>
          <w:tcPr>
            <w:tcW w:w="122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p>
        </w:tc>
        <w:tc>
          <w:tcPr>
            <w:tcW w:w="1541"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p>
        </w:tc>
        <w:tc>
          <w:tcPr>
            <w:tcW w:w="1541"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p>
        </w:tc>
        <w:tc>
          <w:tcPr>
            <w:tcW w:w="1541"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p>
        </w:tc>
        <w:tc>
          <w:tcPr>
            <w:tcW w:w="1541"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p>
        </w:tc>
      </w:tr>
      <w:tr>
        <w:tblPrEx>
          <w:tblCellMar>
            <w:top w:w="0" w:type="dxa"/>
            <w:left w:w="108" w:type="dxa"/>
            <w:bottom w:w="0" w:type="dxa"/>
            <w:right w:w="108" w:type="dxa"/>
          </w:tblCellMar>
        </w:tblPrEx>
        <w:trPr>
          <w:trHeight w:val="340" w:hRule="atLeast"/>
          <w:jc w:val="center"/>
        </w:trPr>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highlight w:val="none"/>
              </w:rPr>
            </w:pPr>
            <w:r>
              <w:rPr>
                <w:rFonts w:hint="eastAsia" w:ascii="仿宋_GB2312" w:hAnsi="仿宋_GB2312" w:eastAsia="仿宋_GB2312" w:cs="仿宋_GB2312"/>
                <w:b/>
                <w:bCs/>
                <w:color w:val="000000"/>
                <w:kern w:val="0"/>
                <w:sz w:val="24"/>
                <w:highlight w:val="none"/>
              </w:rPr>
              <w:t>繁华程度</w:t>
            </w:r>
          </w:p>
        </w:tc>
        <w:tc>
          <w:tcPr>
            <w:tcW w:w="154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距区级商服中心近、在农贸市场范围内，人流畅旺</w:t>
            </w:r>
          </w:p>
        </w:tc>
        <w:tc>
          <w:tcPr>
            <w:tcW w:w="154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距区级商服中心较近、离集贸市场较近，人流较畅旺</w:t>
            </w:r>
          </w:p>
        </w:tc>
        <w:tc>
          <w:tcPr>
            <w:tcW w:w="154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距区级商服中心有一定距离，与集贸市场距离一般、人流量一般</w:t>
            </w:r>
          </w:p>
        </w:tc>
        <w:tc>
          <w:tcPr>
            <w:tcW w:w="154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距区级商服中心较远，所在地区商业气氛平淡，人流较少</w:t>
            </w:r>
          </w:p>
        </w:tc>
        <w:tc>
          <w:tcPr>
            <w:tcW w:w="154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距区级商服中心远，独立、小型、零星商业用地</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highlight w:val="none"/>
              </w:rPr>
            </w:pPr>
            <w:r>
              <w:rPr>
                <w:rFonts w:hint="eastAsia" w:ascii="仿宋_GB2312" w:hAnsi="仿宋_GB2312" w:eastAsia="仿宋_GB2312" w:cs="仿宋_GB2312"/>
                <w:b/>
                <w:bCs/>
                <w:color w:val="000000"/>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5.23%</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2.61%</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-2.64%</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-5.28%</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highlight w:val="none"/>
              </w:rPr>
            </w:pPr>
            <w:r>
              <w:rPr>
                <w:rFonts w:hint="eastAsia" w:ascii="仿宋_GB2312" w:hAnsi="仿宋_GB2312" w:eastAsia="仿宋_GB2312" w:cs="仿宋_GB2312"/>
                <w:b/>
                <w:bCs/>
                <w:color w:val="000000"/>
                <w:kern w:val="0"/>
                <w:sz w:val="24"/>
                <w:highlight w:val="none"/>
              </w:rPr>
              <w:t>交通条件</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道路通达度高、距长途汽车站近、交通方便</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道路通达度较高、距长途汽车站较近，交通较方便</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道路通达度一般、距长途汽车站距离一般，交通一般</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道路通达度较低、距长途汽车站较远，交通较差</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道路通达度低、距长途汽车站远，交通不方便</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highlight w:val="none"/>
              </w:rPr>
            </w:pPr>
            <w:r>
              <w:rPr>
                <w:rFonts w:hint="eastAsia" w:ascii="仿宋_GB2312" w:hAnsi="仿宋_GB2312" w:eastAsia="仿宋_GB2312" w:cs="仿宋_GB2312"/>
                <w:b/>
                <w:bCs/>
                <w:color w:val="000000"/>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4.03%</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2.02%</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-2.04%</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-4.08%</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highlight w:val="none"/>
              </w:rPr>
            </w:pPr>
            <w:r>
              <w:rPr>
                <w:rFonts w:hint="eastAsia" w:ascii="仿宋_GB2312" w:hAnsi="仿宋_GB2312" w:eastAsia="仿宋_GB2312" w:cs="仿宋_GB2312"/>
                <w:b/>
                <w:bCs/>
                <w:color w:val="000000"/>
                <w:kern w:val="0"/>
                <w:sz w:val="24"/>
                <w:highlight w:val="none"/>
              </w:rPr>
              <w:t>基本设施状况</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市政供水，供电保证率高，排水状况好，周围学校、银行、邮电局（所）、医院等生活设施配套完备</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市政供水，供电保证率较高，排水状况较好，周围学校、银行、邮电局（所）、医院等生活设施配套较完备</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市政供水，供电保证率一般，排水状况一般，周围学校、银行、邮电局（所）、医院等生活设施配套一般</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市政供水，供电保证率较低，排水状况较差，离学校、银行、邮电局（所）、医院等生活设施有一定的距离</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市政供水，供电保证率低，排水状况差，离学校、银行、邮电局（所）、医院较远，生活设施配套不完备</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highlight w:val="none"/>
              </w:rPr>
            </w:pPr>
            <w:r>
              <w:rPr>
                <w:rFonts w:hint="eastAsia" w:ascii="仿宋_GB2312" w:hAnsi="仿宋_GB2312" w:eastAsia="仿宋_GB2312" w:cs="仿宋_GB2312"/>
                <w:b/>
                <w:bCs/>
                <w:color w:val="000000"/>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3.94%</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1.97%</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-1.99%</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-3.99%</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highlight w:val="none"/>
              </w:rPr>
            </w:pPr>
            <w:r>
              <w:rPr>
                <w:rFonts w:hint="eastAsia" w:ascii="仿宋_GB2312" w:hAnsi="仿宋_GB2312" w:eastAsia="仿宋_GB2312" w:cs="仿宋_GB2312"/>
                <w:b/>
                <w:bCs/>
                <w:color w:val="000000"/>
                <w:kern w:val="0"/>
                <w:sz w:val="24"/>
                <w:highlight w:val="none"/>
              </w:rPr>
              <w:t>社会经济状况</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区域人均收入、人口密度、经济产值高</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区域人均收入、人口密度、经济产值较高</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区域人均收入、人口密度、经济产值一般</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区域人均收入、人口密度、经济产值较低</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区域人均收入、人口密度、经济产值低</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highlight w:val="none"/>
              </w:rPr>
            </w:pPr>
            <w:r>
              <w:rPr>
                <w:rFonts w:hint="eastAsia" w:ascii="仿宋_GB2312" w:hAnsi="仿宋_GB2312" w:eastAsia="仿宋_GB2312" w:cs="仿宋_GB2312"/>
                <w:b/>
                <w:bCs/>
                <w:color w:val="000000"/>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2.20%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1.10%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-1.11%</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-2.22%</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环境条件</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地形平坦、距离灾害风险点远</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地形较平坦、距离灾害风险点较远</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地形基本平坦，有一定起伏、距离灾害风险点较远</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地形有一定坡度、距离灾害风险点较近</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地形坡度较大、距离灾害风险点近</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2.11%</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1.05%</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-1.06%</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-2.13%</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区域规划</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近期重点规划区</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近期次重点规划区</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一般规划区</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中期规划区</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远期规划区</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1.36%</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0.68%</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-0.69%</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-1.38%</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宏观区位影响度</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距周边中心城镇近，区域受其影响高</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距周边中心城镇较近，区域受其影响较高</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距周边中心城镇有一定距离，区域受其影响一般</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距周边中心城镇较远，区域受其影响较低</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周边中心城镇远，区域受其影响低</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1.96%</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0.98%</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-0.99%</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-1.98%</w:t>
            </w:r>
          </w:p>
        </w:tc>
      </w:tr>
    </w:tbl>
    <w:p>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集体</w:t>
      </w:r>
      <w:r>
        <w:rPr>
          <w:rFonts w:hint="default" w:ascii="仿宋_GB2312" w:hAnsi="仿宋_GB2312" w:eastAsia="仿宋_GB2312" w:cs="仿宋_GB2312"/>
          <w:b w:val="0"/>
          <w:bCs w:val="0"/>
          <w:color w:val="auto"/>
          <w:kern w:val="28"/>
          <w:sz w:val="32"/>
          <w:szCs w:val="32"/>
          <w:highlight w:val="none"/>
          <w:lang w:val="en-US" w:eastAsia="zh-CN"/>
        </w:rPr>
        <w:t>商服用地区域因素修正系数表（二级）</w:t>
      </w:r>
    </w:p>
    <w:tbl>
      <w:tblPr>
        <w:tblStyle w:val="15"/>
        <w:tblW w:w="8931" w:type="dxa"/>
        <w:jc w:val="center"/>
        <w:tblLayout w:type="autofit"/>
        <w:tblCellMar>
          <w:top w:w="0" w:type="dxa"/>
          <w:left w:w="108" w:type="dxa"/>
          <w:bottom w:w="0" w:type="dxa"/>
          <w:right w:w="108" w:type="dxa"/>
        </w:tblCellMar>
      </w:tblPr>
      <w:tblGrid>
        <w:gridCol w:w="1224"/>
        <w:gridCol w:w="1541"/>
        <w:gridCol w:w="1541"/>
        <w:gridCol w:w="1541"/>
        <w:gridCol w:w="1541"/>
        <w:gridCol w:w="1543"/>
      </w:tblGrid>
      <w:tr>
        <w:tblPrEx>
          <w:tblCellMar>
            <w:top w:w="0" w:type="dxa"/>
            <w:left w:w="108" w:type="dxa"/>
            <w:bottom w:w="0" w:type="dxa"/>
            <w:right w:w="108" w:type="dxa"/>
          </w:tblCellMar>
        </w:tblPrEx>
        <w:trPr>
          <w:trHeight w:val="340" w:hRule="atLeast"/>
          <w:tblHeader/>
          <w:jc w:val="center"/>
        </w:trPr>
        <w:tc>
          <w:tcPr>
            <w:tcW w:w="1224"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autoSpaceDE/>
              <w:autoSpaceDN/>
              <w:adjustRightInd w:val="0"/>
              <w:snapToGrid w:val="0"/>
              <w:spacing w:line="240" w:lineRule="auto"/>
              <w:ind w:firstLine="241" w:firstLineChars="100"/>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优劣度</w:t>
            </w:r>
            <w:r>
              <w:rPr>
                <w:rFonts w:hint="eastAsia" w:ascii="仿宋_GB2312" w:hAnsi="仿宋_GB2312" w:eastAsia="仿宋_GB2312" w:cs="仿宋_GB2312"/>
                <w:b/>
                <w:bCs/>
                <w:kern w:val="0"/>
                <w:sz w:val="24"/>
                <w:highlight w:val="none"/>
              </w:rPr>
              <w:br w:type="textWrapping"/>
            </w:r>
            <w:r>
              <w:rPr>
                <w:rFonts w:hint="eastAsia" w:ascii="仿宋_GB2312" w:hAnsi="仿宋_GB2312" w:eastAsia="仿宋_GB2312" w:cs="仿宋_GB2312"/>
                <w:b/>
                <w:bCs/>
                <w:kern w:val="0"/>
                <w:sz w:val="24"/>
                <w:highlight w:val="none"/>
              </w:rPr>
              <w:t>因素</w:t>
            </w:r>
          </w:p>
        </w:tc>
        <w:tc>
          <w:tcPr>
            <w:tcW w:w="15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优</w:t>
            </w:r>
          </w:p>
        </w:tc>
        <w:tc>
          <w:tcPr>
            <w:tcW w:w="15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较优</w:t>
            </w:r>
          </w:p>
        </w:tc>
        <w:tc>
          <w:tcPr>
            <w:tcW w:w="15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一般</w:t>
            </w:r>
          </w:p>
        </w:tc>
        <w:tc>
          <w:tcPr>
            <w:tcW w:w="15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较劣</w:t>
            </w:r>
          </w:p>
        </w:tc>
        <w:tc>
          <w:tcPr>
            <w:tcW w:w="15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劣</w:t>
            </w:r>
          </w:p>
        </w:tc>
      </w:tr>
      <w:tr>
        <w:tblPrEx>
          <w:tblCellMar>
            <w:top w:w="0" w:type="dxa"/>
            <w:left w:w="108" w:type="dxa"/>
            <w:bottom w:w="0" w:type="dxa"/>
            <w:right w:w="108" w:type="dxa"/>
          </w:tblCellMar>
        </w:tblPrEx>
        <w:trPr>
          <w:trHeight w:val="340" w:hRule="atLeast"/>
          <w:tblHeader/>
          <w:jc w:val="center"/>
        </w:trPr>
        <w:tc>
          <w:tcPr>
            <w:tcW w:w="1224"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p>
        </w:tc>
        <w:tc>
          <w:tcPr>
            <w:tcW w:w="1541"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p>
        </w:tc>
        <w:tc>
          <w:tcPr>
            <w:tcW w:w="1541"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p>
        </w:tc>
        <w:tc>
          <w:tcPr>
            <w:tcW w:w="1541"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p>
        </w:tc>
        <w:tc>
          <w:tcPr>
            <w:tcW w:w="1541"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p>
        </w:tc>
      </w:tr>
      <w:tr>
        <w:tblPrEx>
          <w:tblCellMar>
            <w:top w:w="0" w:type="dxa"/>
            <w:left w:w="108" w:type="dxa"/>
            <w:bottom w:w="0" w:type="dxa"/>
            <w:right w:w="108" w:type="dxa"/>
          </w:tblCellMar>
        </w:tblPrEx>
        <w:trPr>
          <w:trHeight w:val="340" w:hRule="atLeast"/>
          <w:jc w:val="center"/>
        </w:trPr>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繁华程度</w:t>
            </w:r>
          </w:p>
        </w:tc>
        <w:tc>
          <w:tcPr>
            <w:tcW w:w="154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距区级商服中心近、在农贸市场范围内，人流畅旺</w:t>
            </w:r>
          </w:p>
        </w:tc>
        <w:tc>
          <w:tcPr>
            <w:tcW w:w="154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距区级商服中心较近、离集贸市场较近，人流较畅旺</w:t>
            </w:r>
          </w:p>
        </w:tc>
        <w:tc>
          <w:tcPr>
            <w:tcW w:w="154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距区级商服中心有一定距离，与集贸市场距离一般、人流量一般</w:t>
            </w:r>
          </w:p>
        </w:tc>
        <w:tc>
          <w:tcPr>
            <w:tcW w:w="154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距区级商服中心较远，所在地区商业气氛平淡，人流较少</w:t>
            </w:r>
          </w:p>
        </w:tc>
        <w:tc>
          <w:tcPr>
            <w:tcW w:w="154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距区级商服中心远，独立、小型、零星的商业用地</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5.02%</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2.51%</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-2.51%</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-5.02%</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交通条件</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道路通达度高、距长途汽车站近、交通方便</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道路通达度较高、距长途汽车站较近，交通较方便</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道路通达度一般、距长途汽车站距离一般，交通一般</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道路通达度较低、距长途汽车站较远，交通较差</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道路通达度低、距长途汽车站远，交通不方便</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3.87%</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1.94%</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-1.94%</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-3.87%</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基本设施状况</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市政供水，供电保证率高，排水状况好，周围学校、银行、邮电局（所）、医院等生活设施配套完备</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市政供水，供电保证率较高，排水状况较好，周围学校、银行、邮电局（所）、医院等生活设施配套较完备</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市政供水，供电保证率一般，排水状况一般，周围学校、银行、邮电局（所）、医院等生活设施配套一般</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市政供水，供电保证率较低，排水状况较差，离学校、银行、邮电局（所）、医院等生活设施有一定的距离</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市政供水，供电保证率低，排水状况差，离学校、银行、邮电局（所）、医院较远，生活设施配套不完备</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3.79%</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1.89%</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-1.89%</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-3.79%</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社会经济状况</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区域人均收入、人口密度、经济产值高</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区域人均收入、人口密度、经济产值较高</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区域人均收入、人口密度、经济产值一般</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区域人均收入、人口密度、经济产值较低</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区域人均收入、人口密度、经济产值低</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2.11%</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1.06%</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-1.06%</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-2.11%</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环境条件</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地形平坦、距离灾害风险点远</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地形较平坦、距离灾害风险点较远</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地形基本平坦，有一定起伏、距离灾害风险点较远</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地形有一定坡度、距离灾害风险点较近</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地形坡度较大、距离灾害风险点近</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2.02%</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1.01%</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-1.01%</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-2.02%</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区域规划</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近期重点规划区</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近期次重点规划区</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一般规划区</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中期规划区</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远期规划区</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1.31%</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0.65%</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-0.65%</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-1.31%</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宏观区位影响度</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距周边中心城镇近，区域受其影响高</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距周边中心城镇较近，区域受其影响较高</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距周边中心城镇有一定距离，区域受其影响一般</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距周边中心城镇较远，区域受其影响较低</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周边中心城镇远，区域受其影响低</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1.88%</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0.94%</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-0.94%</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-1.88%</w:t>
            </w:r>
          </w:p>
        </w:tc>
      </w:tr>
    </w:tbl>
    <w:p>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集体</w:t>
      </w:r>
      <w:r>
        <w:rPr>
          <w:rFonts w:hint="default" w:ascii="仿宋_GB2312" w:hAnsi="仿宋_GB2312" w:eastAsia="仿宋_GB2312" w:cs="仿宋_GB2312"/>
          <w:b w:val="0"/>
          <w:bCs w:val="0"/>
          <w:color w:val="auto"/>
          <w:kern w:val="28"/>
          <w:sz w:val="32"/>
          <w:szCs w:val="32"/>
          <w:highlight w:val="none"/>
          <w:lang w:val="en-US" w:eastAsia="zh-CN"/>
        </w:rPr>
        <w:t>商服用地区域因素修正系数表（三级）</w:t>
      </w:r>
    </w:p>
    <w:tbl>
      <w:tblPr>
        <w:tblStyle w:val="15"/>
        <w:tblW w:w="8931" w:type="dxa"/>
        <w:jc w:val="center"/>
        <w:tblLayout w:type="autofit"/>
        <w:tblCellMar>
          <w:top w:w="0" w:type="dxa"/>
          <w:left w:w="108" w:type="dxa"/>
          <w:bottom w:w="0" w:type="dxa"/>
          <w:right w:w="108" w:type="dxa"/>
        </w:tblCellMar>
      </w:tblPr>
      <w:tblGrid>
        <w:gridCol w:w="1241"/>
        <w:gridCol w:w="1538"/>
        <w:gridCol w:w="1538"/>
        <w:gridCol w:w="1538"/>
        <w:gridCol w:w="1538"/>
        <w:gridCol w:w="1538"/>
      </w:tblGrid>
      <w:tr>
        <w:tblPrEx>
          <w:tblCellMar>
            <w:top w:w="0" w:type="dxa"/>
            <w:left w:w="108" w:type="dxa"/>
            <w:bottom w:w="0" w:type="dxa"/>
            <w:right w:w="108" w:type="dxa"/>
          </w:tblCellMar>
        </w:tblPrEx>
        <w:trPr>
          <w:trHeight w:val="340" w:hRule="atLeast"/>
          <w:tblHeader/>
          <w:jc w:val="center"/>
        </w:trPr>
        <w:tc>
          <w:tcPr>
            <w:tcW w:w="1241"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autoSpaceDE/>
              <w:autoSpaceDN/>
              <w:adjustRightInd w:val="0"/>
              <w:snapToGrid w:val="0"/>
              <w:spacing w:line="240" w:lineRule="auto"/>
              <w:ind w:firstLine="241" w:firstLineChars="100"/>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优劣度</w:t>
            </w:r>
            <w:r>
              <w:rPr>
                <w:rFonts w:hint="eastAsia" w:ascii="仿宋_GB2312" w:hAnsi="仿宋_GB2312" w:eastAsia="仿宋_GB2312" w:cs="仿宋_GB2312"/>
                <w:b/>
                <w:bCs/>
                <w:kern w:val="0"/>
                <w:sz w:val="24"/>
                <w:highlight w:val="none"/>
              </w:rPr>
              <w:br w:type="textWrapping"/>
            </w:r>
            <w:r>
              <w:rPr>
                <w:rFonts w:hint="eastAsia" w:ascii="仿宋_GB2312" w:hAnsi="仿宋_GB2312" w:eastAsia="仿宋_GB2312" w:cs="仿宋_GB2312"/>
                <w:b/>
                <w:bCs/>
                <w:kern w:val="0"/>
                <w:sz w:val="24"/>
                <w:highlight w:val="none"/>
              </w:rPr>
              <w:t>因素</w:t>
            </w:r>
          </w:p>
        </w:tc>
        <w:tc>
          <w:tcPr>
            <w:tcW w:w="15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优</w:t>
            </w:r>
          </w:p>
        </w:tc>
        <w:tc>
          <w:tcPr>
            <w:tcW w:w="15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较优</w:t>
            </w:r>
          </w:p>
        </w:tc>
        <w:tc>
          <w:tcPr>
            <w:tcW w:w="15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一般</w:t>
            </w:r>
          </w:p>
        </w:tc>
        <w:tc>
          <w:tcPr>
            <w:tcW w:w="15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较劣</w:t>
            </w:r>
          </w:p>
        </w:tc>
        <w:tc>
          <w:tcPr>
            <w:tcW w:w="15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劣</w:t>
            </w:r>
          </w:p>
        </w:tc>
      </w:tr>
      <w:tr>
        <w:tblPrEx>
          <w:tblCellMar>
            <w:top w:w="0" w:type="dxa"/>
            <w:left w:w="108" w:type="dxa"/>
            <w:bottom w:w="0" w:type="dxa"/>
            <w:right w:w="108" w:type="dxa"/>
          </w:tblCellMar>
        </w:tblPrEx>
        <w:trPr>
          <w:trHeight w:val="340" w:hRule="atLeast"/>
          <w:tblHeader/>
          <w:jc w:val="center"/>
        </w:trPr>
        <w:tc>
          <w:tcPr>
            <w:tcW w:w="1241"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p>
        </w:tc>
      </w:tr>
      <w:tr>
        <w:tblPrEx>
          <w:tblCellMar>
            <w:top w:w="0" w:type="dxa"/>
            <w:left w:w="108" w:type="dxa"/>
            <w:bottom w:w="0" w:type="dxa"/>
            <w:right w:w="108" w:type="dxa"/>
          </w:tblCellMar>
        </w:tblPrEx>
        <w:trPr>
          <w:trHeight w:val="340"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繁华程度</w:t>
            </w:r>
          </w:p>
        </w:tc>
        <w:tc>
          <w:tcPr>
            <w:tcW w:w="15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距镇级商服中心近、在农贸市场范围内，人流畅旺</w:t>
            </w:r>
          </w:p>
        </w:tc>
        <w:tc>
          <w:tcPr>
            <w:tcW w:w="15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距镇级商服中心较近、离集贸市场、宾馆区较近，人流较畅旺</w:t>
            </w:r>
          </w:p>
        </w:tc>
        <w:tc>
          <w:tcPr>
            <w:tcW w:w="15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距镇级商服中心有一定距离，与集贸市场距离一般人流量一般</w:t>
            </w:r>
          </w:p>
        </w:tc>
        <w:tc>
          <w:tcPr>
            <w:tcW w:w="15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距镇级商服中心较远，所在地区商业气氛平淡，人流较少</w:t>
            </w:r>
          </w:p>
        </w:tc>
        <w:tc>
          <w:tcPr>
            <w:tcW w:w="15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距镇级商服中心远，独立、小型、零星的商业用地</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修正系数</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4.29%</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2.14%</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0.00%</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-2.45%</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-4.90%</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交通条件</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道路通达度高、距长途汽车站近、交通方便</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道路通达度较高、距长途汽车站较近，交通较方便</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道路通达度一般、距长途汽车站距离一般，交通一般</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道路通达度较低、距长途汽车站较远，交通较差</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道路通达度低、距长途汽车站远，交通不方便</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修正系数</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3.31%</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1.65%</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0.00%</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-1.89%</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-3.78%</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基本设施状况</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市政供水，供电保证率高，排水状况好，周围学校、银行、邮电局（所）、医院等生活设施配套完备</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市政供水，供电保证率较高，排水状况较好，周围学校、银行、邮电局（所）、医院等生活设施配套较完备</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市政供水，供电保证率一般，排水状况一般，周围学校、银行、邮电局（所）、医院等生活设施配套一般</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市政供水，供电保证率较低，排水状况较差，离学校、银行、邮电局（所）、医院等生活设施有一定的距离</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市政供水，供电保证率低，排水状况差，离学校、银行、邮电局（所）、医院较远，生活设施配套不完备</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修正系数</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3.23%</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1.62%</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0.00%</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-1.85%</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-3.69%</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社会经济状况</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区域人均收入、人口密度、经济产值高</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区域人均收入、人口密度、经济产值较高</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区域人均收入、人口密度、经济产值一般</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区域人均收入、人口密度、经济产值较低</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区域人均收入、人口密度、经济产值低</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修正系数</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1.80%</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0.90%</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0.00%</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-1.03%</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-2.06%</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环境条件</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地形平坦、距离灾害风险点远</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地形较平坦、距离灾害风险点较远</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地形基本平坦，有一定起伏、距离灾害风险点较远</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地形有一定坡度、距离灾害风险点较近</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地形坡度较大、距离灾害风险点近</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修正系数</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1.73%</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0.86%</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0.00%</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-0.99%</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-1.97%</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区域规划</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近期重点规划区</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近期次重点规划区</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一般规划区</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中期规划区</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远期规划区</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修正系数</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1.12%</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0.56%</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0.00%</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-0.64%</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-1.28%</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宏观区位影响度</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距周边中心城镇近，区域受其影响高</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距周边中心城镇较近，区域受其影响较高</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距周边中心城镇有一定距离，区域受其影响一般</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距周边中心城镇较远，区域受其影响较低</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周边中心城镇远，区域受其影响低</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color w:val="000000"/>
                <w:kern w:val="0"/>
                <w:sz w:val="24"/>
                <w:highlight w:val="none"/>
              </w:rPr>
              <w:t>修正系数</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1.61%</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0.80%</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0.00%</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-0.92%</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-1.84%</w:t>
            </w:r>
          </w:p>
        </w:tc>
      </w:tr>
    </w:tbl>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集体</w:t>
      </w:r>
      <w:r>
        <w:rPr>
          <w:rFonts w:hint="default" w:ascii="仿宋_GB2312" w:hAnsi="仿宋_GB2312" w:eastAsia="仿宋_GB2312" w:cs="仿宋_GB2312"/>
          <w:b w:val="0"/>
          <w:bCs w:val="0"/>
          <w:color w:val="auto"/>
          <w:kern w:val="28"/>
          <w:sz w:val="32"/>
          <w:szCs w:val="32"/>
          <w:highlight w:val="none"/>
          <w:lang w:val="en-US" w:eastAsia="zh-CN"/>
        </w:rPr>
        <w:t>商服用地区域因素修正系数表（四级）</w:t>
      </w:r>
    </w:p>
    <w:tbl>
      <w:tblPr>
        <w:tblStyle w:val="15"/>
        <w:tblpPr w:leftFromText="180" w:rightFromText="180" w:vertAnchor="text" w:horzAnchor="page" w:tblpXSpec="center" w:tblpY="229"/>
        <w:tblOverlap w:val="never"/>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538"/>
        <w:gridCol w:w="1538"/>
        <w:gridCol w:w="1538"/>
        <w:gridCol w:w="1538"/>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1241" w:type="dxa"/>
            <w:vMerge w:val="restart"/>
            <w:tcBorders>
              <w:tl2br w:val="single" w:color="auto" w:sz="4" w:space="0"/>
            </w:tcBorders>
            <w:shd w:val="clear" w:color="auto" w:fill="auto"/>
            <w:vAlign w:val="center"/>
          </w:tcPr>
          <w:p>
            <w:pPr>
              <w:pStyle w:val="32"/>
              <w:ind w:firstLine="211" w:firstLineChars="100"/>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优劣度</w:t>
            </w:r>
            <w:r>
              <w:rPr>
                <w:rFonts w:hint="eastAsia" w:ascii="仿宋_GB2312" w:hAnsi="仿宋_GB2312" w:eastAsia="仿宋_GB2312" w:cs="仿宋_GB2312"/>
                <w:b/>
                <w:color w:val="auto"/>
                <w:highlight w:val="none"/>
              </w:rPr>
              <w:br w:type="textWrapping"/>
            </w:r>
            <w:r>
              <w:rPr>
                <w:rFonts w:hint="eastAsia" w:ascii="仿宋_GB2312" w:hAnsi="仿宋_GB2312" w:eastAsia="仿宋_GB2312" w:cs="仿宋_GB2312"/>
                <w:b/>
                <w:color w:val="auto"/>
                <w:highlight w:val="none"/>
              </w:rPr>
              <w:t>因素</w:t>
            </w:r>
          </w:p>
        </w:tc>
        <w:tc>
          <w:tcPr>
            <w:tcW w:w="1538" w:type="dxa"/>
            <w:vMerge w:val="restart"/>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优</w:t>
            </w:r>
          </w:p>
        </w:tc>
        <w:tc>
          <w:tcPr>
            <w:tcW w:w="1538" w:type="dxa"/>
            <w:vMerge w:val="restart"/>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较优</w:t>
            </w:r>
          </w:p>
        </w:tc>
        <w:tc>
          <w:tcPr>
            <w:tcW w:w="1538" w:type="dxa"/>
            <w:vMerge w:val="restart"/>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一般</w:t>
            </w:r>
          </w:p>
        </w:tc>
        <w:tc>
          <w:tcPr>
            <w:tcW w:w="1538" w:type="dxa"/>
            <w:vMerge w:val="restart"/>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较劣</w:t>
            </w:r>
          </w:p>
        </w:tc>
        <w:tc>
          <w:tcPr>
            <w:tcW w:w="1538" w:type="dxa"/>
            <w:vMerge w:val="restart"/>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1241" w:type="dxa"/>
            <w:vMerge w:val="continue"/>
            <w:vAlign w:val="center"/>
          </w:tcPr>
          <w:p>
            <w:pPr>
              <w:pStyle w:val="32"/>
              <w:rPr>
                <w:rFonts w:ascii="仿宋_GB2312" w:hAnsi="仿宋_GB2312" w:eastAsia="仿宋_GB2312" w:cs="仿宋_GB2312"/>
                <w:color w:val="auto"/>
                <w:highlight w:val="none"/>
              </w:rPr>
            </w:pPr>
          </w:p>
        </w:tc>
        <w:tc>
          <w:tcPr>
            <w:tcW w:w="1538" w:type="dxa"/>
            <w:vMerge w:val="continue"/>
            <w:vAlign w:val="center"/>
          </w:tcPr>
          <w:p>
            <w:pPr>
              <w:pStyle w:val="32"/>
              <w:rPr>
                <w:rFonts w:ascii="仿宋_GB2312" w:hAnsi="仿宋_GB2312" w:eastAsia="仿宋_GB2312" w:cs="仿宋_GB2312"/>
                <w:color w:val="auto"/>
                <w:highlight w:val="none"/>
              </w:rPr>
            </w:pPr>
          </w:p>
        </w:tc>
        <w:tc>
          <w:tcPr>
            <w:tcW w:w="1538" w:type="dxa"/>
            <w:vMerge w:val="continue"/>
            <w:vAlign w:val="center"/>
          </w:tcPr>
          <w:p>
            <w:pPr>
              <w:pStyle w:val="32"/>
              <w:rPr>
                <w:rFonts w:ascii="仿宋_GB2312" w:hAnsi="仿宋_GB2312" w:eastAsia="仿宋_GB2312" w:cs="仿宋_GB2312"/>
                <w:color w:val="auto"/>
                <w:highlight w:val="none"/>
              </w:rPr>
            </w:pPr>
          </w:p>
        </w:tc>
        <w:tc>
          <w:tcPr>
            <w:tcW w:w="1538" w:type="dxa"/>
            <w:vMerge w:val="continue"/>
            <w:vAlign w:val="center"/>
          </w:tcPr>
          <w:p>
            <w:pPr>
              <w:pStyle w:val="32"/>
              <w:rPr>
                <w:rFonts w:ascii="仿宋_GB2312" w:hAnsi="仿宋_GB2312" w:eastAsia="仿宋_GB2312" w:cs="仿宋_GB2312"/>
                <w:color w:val="auto"/>
                <w:highlight w:val="none"/>
              </w:rPr>
            </w:pPr>
          </w:p>
        </w:tc>
        <w:tc>
          <w:tcPr>
            <w:tcW w:w="1538" w:type="dxa"/>
            <w:vMerge w:val="continue"/>
            <w:vAlign w:val="center"/>
          </w:tcPr>
          <w:p>
            <w:pPr>
              <w:pStyle w:val="32"/>
              <w:rPr>
                <w:rFonts w:ascii="仿宋_GB2312" w:hAnsi="仿宋_GB2312" w:eastAsia="仿宋_GB2312" w:cs="仿宋_GB2312"/>
                <w:color w:val="auto"/>
                <w:highlight w:val="none"/>
              </w:rPr>
            </w:pPr>
          </w:p>
        </w:tc>
        <w:tc>
          <w:tcPr>
            <w:tcW w:w="1538" w:type="dxa"/>
            <w:vMerge w:val="continue"/>
            <w:vAlign w:val="center"/>
          </w:tcPr>
          <w:p>
            <w:pPr>
              <w:pStyle w:val="32"/>
              <w:rPr>
                <w:rFonts w:ascii="仿宋_GB2312" w:hAnsi="仿宋_GB2312" w:eastAsia="仿宋_GB2312"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b/>
                <w:bCs/>
                <w:kern w:val="0"/>
                <w:sz w:val="24"/>
                <w:highlight w:val="none"/>
              </w:rPr>
              <w:t>繁华程度</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距镇级商服中心和农贸市场近</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距镇级商服中心和农贸市场较近</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距镇级商服中心和农贸市场有一定距离</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距镇级商服中心和农贸市场较远</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距镇级商服中心和农贸市场远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b/>
                <w:bCs/>
                <w:kern w:val="0"/>
                <w:sz w:val="24"/>
                <w:highlight w:val="none"/>
              </w:rPr>
              <w:t>修正系数</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3.80%</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1.90%</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-1.90%</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b/>
                <w:bCs/>
                <w:kern w:val="0"/>
                <w:sz w:val="24"/>
                <w:highlight w:val="none"/>
              </w:rPr>
              <w:t>交通条件</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道路通达度高、距长途汽车站近、交通方便</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道路通达度较高、距长途汽车站较近，交通较方便</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道路通达度一般、距长途汽车站距离一般，交通一般</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道路通达度较低、距长途汽车站较远，交通较差</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道路通达度低、距长途汽车站远，交通不方便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b/>
                <w:bCs/>
                <w:kern w:val="0"/>
                <w:sz w:val="24"/>
                <w:highlight w:val="none"/>
              </w:rPr>
              <w:t>修正系数</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2.93%</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1.47%</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-1.47%</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b/>
                <w:bCs/>
                <w:kern w:val="0"/>
                <w:sz w:val="24"/>
                <w:highlight w:val="none"/>
              </w:rPr>
              <w:t>基本设施状况</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市政供水，供电保证率高，排水状况好，周围学校、银行、邮电局（所）、医院等生活设施配套完备</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市政供水，供电保证率较高，排水状况较好，周围学校、银行、邮电局（所）、医院等生活设施配套较完备</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市政供水，供电保证率一般，排水状况一般，周围学校、银行、邮电局（所）、医院等生活设施配套一般</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市政供水，供电保证率较低，排水状况较差，离学校、银行、邮电局（所）、医院等生活设施有一定的距离</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市政供水，供电保证率低，排水状况差，离学校、银行、邮电局（所）、医院较远，生活设施配套不完备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b/>
                <w:bCs/>
                <w:kern w:val="0"/>
                <w:sz w:val="24"/>
                <w:highlight w:val="none"/>
              </w:rPr>
              <w:t>修正系数</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2.87%</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1.43%</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-1.43%</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b/>
                <w:bCs/>
                <w:kern w:val="0"/>
                <w:sz w:val="24"/>
                <w:highlight w:val="none"/>
              </w:rPr>
              <w:t>社会经济状况</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区域人均收入、人口密度、经济产值高</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区域人均收入、人口密度、经济产值较高</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区域人均收入、人口密度、经济产值一般</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区域人均收入、人口密度、经济产值较低</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区域人均收入、人口密度、经济产值低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b/>
                <w:bCs/>
                <w:kern w:val="0"/>
                <w:sz w:val="24"/>
                <w:highlight w:val="none"/>
              </w:rPr>
              <w:t>修正系数</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1.60%</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0.80%</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-0.80%</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b/>
                <w:bCs/>
                <w:kern w:val="0"/>
                <w:sz w:val="24"/>
                <w:highlight w:val="none"/>
              </w:rPr>
              <w:t>环境条件</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地形平坦、距离灾害风险点远</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地形较平坦、距离灾害风险点较远</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地形基本平坦，有一定起伏、距离灾害风险点较远</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地形有一定坡度、距离灾害风险点较近</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地形坡度较大、距离灾害风险点近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b/>
                <w:bCs/>
                <w:kern w:val="0"/>
                <w:sz w:val="24"/>
                <w:highlight w:val="none"/>
              </w:rPr>
              <w:t>修正系数</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1.53%</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0.77%</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-0.77%</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b/>
                <w:bCs/>
                <w:kern w:val="0"/>
                <w:sz w:val="24"/>
                <w:highlight w:val="none"/>
              </w:rPr>
              <w:t>区域规划</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近期重点规划区</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近期次重点规划区</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一般规划区</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中期规划区</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远期规划区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b/>
                <w:bCs/>
                <w:kern w:val="0"/>
                <w:sz w:val="24"/>
                <w:highlight w:val="none"/>
              </w:rPr>
              <w:t>修正系数</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0.99%</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0.50%</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-0.50%</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b/>
                <w:bCs/>
                <w:kern w:val="0"/>
                <w:sz w:val="24"/>
                <w:highlight w:val="none"/>
              </w:rPr>
              <w:t>宏观区位影响度</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距周边中心城镇近，区域受其影响高</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距周边中心城镇较近，区域受其影响较高</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距周边中心城镇有一定距离，区域受其影响一般</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距周边中心城镇较远，区域受其影响较低</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周边中心城镇远，区域受其影响低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b/>
                <w:bCs/>
                <w:kern w:val="0"/>
                <w:sz w:val="24"/>
                <w:highlight w:val="none"/>
              </w:rPr>
              <w:t>修正系数</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1.43%</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0.71%</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-0.71%</w:t>
            </w:r>
          </w:p>
        </w:tc>
        <w:tc>
          <w:tcPr>
            <w:tcW w:w="1538" w:type="dxa"/>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-1.43%</w:t>
            </w:r>
          </w:p>
        </w:tc>
      </w:tr>
    </w:tbl>
    <w:p>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商服用地区域因素修正系数表（五级）</w:t>
      </w:r>
    </w:p>
    <w:tbl>
      <w:tblPr>
        <w:tblStyle w:val="15"/>
        <w:tblW w:w="8931" w:type="dxa"/>
        <w:jc w:val="center"/>
        <w:tblLayout w:type="autofit"/>
        <w:tblCellMar>
          <w:top w:w="0" w:type="dxa"/>
          <w:left w:w="108" w:type="dxa"/>
          <w:bottom w:w="0" w:type="dxa"/>
          <w:right w:w="108" w:type="dxa"/>
        </w:tblCellMar>
      </w:tblPr>
      <w:tblGrid>
        <w:gridCol w:w="1241"/>
        <w:gridCol w:w="1595"/>
        <w:gridCol w:w="1559"/>
        <w:gridCol w:w="1559"/>
        <w:gridCol w:w="1554"/>
        <w:gridCol w:w="1423"/>
      </w:tblGrid>
      <w:tr>
        <w:tblPrEx>
          <w:tblCellMar>
            <w:top w:w="0" w:type="dxa"/>
            <w:left w:w="108" w:type="dxa"/>
            <w:bottom w:w="0" w:type="dxa"/>
            <w:right w:w="108" w:type="dxa"/>
          </w:tblCellMar>
        </w:tblPrEx>
        <w:trPr>
          <w:trHeight w:val="500" w:hRule="atLeast"/>
          <w:tblHeader/>
          <w:jc w:val="center"/>
        </w:trPr>
        <w:tc>
          <w:tcPr>
            <w:tcW w:w="1241"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pStyle w:val="32"/>
              <w:ind w:firstLine="211" w:firstLineChars="100"/>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优劣度</w:t>
            </w:r>
            <w:r>
              <w:rPr>
                <w:rFonts w:hint="eastAsia" w:ascii="仿宋_GB2312" w:hAnsi="仿宋_GB2312" w:eastAsia="仿宋_GB2312" w:cs="仿宋_GB2312"/>
                <w:b/>
                <w:color w:val="auto"/>
                <w:highlight w:val="none"/>
              </w:rPr>
              <w:br w:type="textWrapping"/>
            </w:r>
            <w:r>
              <w:rPr>
                <w:rFonts w:hint="eastAsia" w:ascii="仿宋_GB2312" w:hAnsi="仿宋_GB2312" w:eastAsia="仿宋_GB2312" w:cs="仿宋_GB2312"/>
                <w:b/>
                <w:color w:val="auto"/>
                <w:highlight w:val="none"/>
              </w:rPr>
              <w:t>因素</w:t>
            </w:r>
          </w:p>
        </w:tc>
        <w:tc>
          <w:tcPr>
            <w:tcW w:w="15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优</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较优</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一般</w:t>
            </w:r>
          </w:p>
        </w:tc>
        <w:tc>
          <w:tcPr>
            <w:tcW w:w="15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较劣</w:t>
            </w:r>
          </w:p>
        </w:tc>
        <w:tc>
          <w:tcPr>
            <w:tcW w:w="14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val="0"/>
              <w:snapToGrid w:val="0"/>
              <w:spacing w:line="240" w:lineRule="auto"/>
              <w:ind w:firstLine="0" w:firstLineChars="0"/>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劣</w:t>
            </w:r>
          </w:p>
        </w:tc>
      </w:tr>
      <w:tr>
        <w:tblPrEx>
          <w:tblCellMar>
            <w:top w:w="0" w:type="dxa"/>
            <w:left w:w="108" w:type="dxa"/>
            <w:bottom w:w="0" w:type="dxa"/>
            <w:right w:w="108" w:type="dxa"/>
          </w:tblCellMar>
        </w:tblPrEx>
        <w:trPr>
          <w:trHeight w:val="500" w:hRule="atLeast"/>
          <w:tblHeader/>
          <w:jc w:val="center"/>
        </w:trPr>
        <w:tc>
          <w:tcPr>
            <w:tcW w:w="1241" w:type="dxa"/>
            <w:vMerge w:val="continue"/>
            <w:tcBorders>
              <w:top w:val="single" w:color="auto" w:sz="4" w:space="0"/>
              <w:left w:val="single" w:color="auto" w:sz="4" w:space="0"/>
              <w:bottom w:val="single" w:color="auto" w:sz="4" w:space="0"/>
              <w:right w:val="single" w:color="auto" w:sz="4" w:space="0"/>
            </w:tcBorders>
            <w:vAlign w:val="center"/>
          </w:tcPr>
          <w:p>
            <w:pPr>
              <w:pStyle w:val="32"/>
              <w:rPr>
                <w:rFonts w:ascii="仿宋_GB2312" w:hAnsi="仿宋_GB2312" w:eastAsia="仿宋_GB2312" w:cs="仿宋_GB2312"/>
                <w:color w:val="auto"/>
                <w:highlight w:val="none"/>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pPr>
              <w:pStyle w:val="32"/>
              <w:rPr>
                <w:rFonts w:ascii="仿宋_GB2312" w:hAnsi="仿宋_GB2312" w:eastAsia="仿宋_GB2312" w:cs="仿宋_GB2312"/>
                <w:color w:val="auto"/>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Style w:val="32"/>
              <w:rPr>
                <w:rFonts w:ascii="仿宋_GB2312" w:hAnsi="仿宋_GB2312" w:eastAsia="仿宋_GB2312" w:cs="仿宋_GB2312"/>
                <w:color w:val="auto"/>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Style w:val="32"/>
              <w:rPr>
                <w:rFonts w:ascii="仿宋_GB2312" w:hAnsi="仿宋_GB2312" w:eastAsia="仿宋_GB2312" w:cs="仿宋_GB2312"/>
                <w:color w:val="auto"/>
                <w:highlight w:val="none"/>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pStyle w:val="32"/>
              <w:rPr>
                <w:rFonts w:ascii="仿宋_GB2312" w:hAnsi="仿宋_GB2312" w:eastAsia="仿宋_GB2312" w:cs="仿宋_GB2312"/>
                <w:color w:val="auto"/>
                <w:highlight w:val="none"/>
              </w:rPr>
            </w:pPr>
          </w:p>
        </w:tc>
        <w:tc>
          <w:tcPr>
            <w:tcW w:w="1423" w:type="dxa"/>
            <w:vMerge w:val="continue"/>
            <w:tcBorders>
              <w:top w:val="single" w:color="auto" w:sz="4" w:space="0"/>
              <w:left w:val="single" w:color="auto" w:sz="4" w:space="0"/>
              <w:bottom w:val="single" w:color="auto" w:sz="4" w:space="0"/>
              <w:right w:val="single" w:color="auto" w:sz="4" w:space="0"/>
            </w:tcBorders>
            <w:vAlign w:val="center"/>
          </w:tcPr>
          <w:p>
            <w:pPr>
              <w:pStyle w:val="32"/>
              <w:rPr>
                <w:rFonts w:ascii="仿宋_GB2312" w:hAnsi="仿宋_GB2312" w:eastAsia="仿宋_GB2312" w:cs="仿宋_GB2312"/>
                <w:color w:val="auto"/>
                <w:highlight w:val="none"/>
              </w:rPr>
            </w:pPr>
          </w:p>
        </w:tc>
      </w:tr>
      <w:tr>
        <w:tblPrEx>
          <w:tblCellMar>
            <w:top w:w="0" w:type="dxa"/>
            <w:left w:w="108" w:type="dxa"/>
            <w:bottom w:w="0" w:type="dxa"/>
            <w:right w:w="108" w:type="dxa"/>
          </w:tblCellMar>
        </w:tblPrEx>
        <w:trPr>
          <w:trHeight w:val="340"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繁华程度</w:t>
            </w:r>
          </w:p>
        </w:tc>
        <w:tc>
          <w:tcPr>
            <w:tcW w:w="159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距镇或村小卖铺近</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距镇或村小卖铺较近</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距镇或村小卖铺有一定距离</w:t>
            </w:r>
          </w:p>
        </w:tc>
        <w:tc>
          <w:tcPr>
            <w:tcW w:w="15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距镇或村小卖铺较远</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距镇或村小卖铺远</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159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4.56%</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2.28%</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5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-2.57%</w:t>
            </w:r>
          </w:p>
        </w:tc>
        <w:tc>
          <w:tcPr>
            <w:tcW w:w="142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-5.13%</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交通条件</w:t>
            </w:r>
          </w:p>
        </w:tc>
        <w:tc>
          <w:tcPr>
            <w:tcW w:w="159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道路通达度高、距长途汽车站近、交通方便</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道路通达度较高、距长途汽车站较近，交通较方便</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道路通达度一般、距长途汽车站距离一般，交通一般</w:t>
            </w:r>
          </w:p>
        </w:tc>
        <w:tc>
          <w:tcPr>
            <w:tcW w:w="155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道路通达度较低、距长途汽车站较远，交通较差</w:t>
            </w:r>
          </w:p>
        </w:tc>
        <w:tc>
          <w:tcPr>
            <w:tcW w:w="142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道路通达度低、距长途汽车站远，交通不方便</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159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3.52%</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1.76%</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5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-1.98%</w:t>
            </w:r>
          </w:p>
        </w:tc>
        <w:tc>
          <w:tcPr>
            <w:tcW w:w="142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-3.96%</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基本设施状况</w:t>
            </w:r>
          </w:p>
        </w:tc>
        <w:tc>
          <w:tcPr>
            <w:tcW w:w="159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市政供水，供电保证率高，排水状况好，周围学校、银行、邮电局（所）、医院等生活设施配套完备</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市政供水，供电保证率较高，排水状况较好，周围学校、银行、邮电局（所）、医院等生活设施配套较完备</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市政供水，供电保证率一般，排水状况一般，周围学校、银行、邮电局（所）、医院等生活设施配套一般</w:t>
            </w:r>
          </w:p>
        </w:tc>
        <w:tc>
          <w:tcPr>
            <w:tcW w:w="155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市政供水，供电保证率较低，排水状况较差，离学校、银行、邮电局（所）、医院等生活设施有一定的距离</w:t>
            </w:r>
          </w:p>
        </w:tc>
        <w:tc>
          <w:tcPr>
            <w:tcW w:w="142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市政供水，供电保证率低，排水状况差，离学校、银行、邮电局（所）、医院较远，生活设施配套不完备</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159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3.44%</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1.72%</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5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-1.94%</w:t>
            </w:r>
          </w:p>
        </w:tc>
        <w:tc>
          <w:tcPr>
            <w:tcW w:w="142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-3.87%</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社会经济状况</w:t>
            </w:r>
          </w:p>
        </w:tc>
        <w:tc>
          <w:tcPr>
            <w:tcW w:w="159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区域人均收入、人口密度、经济产值高</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区域人均收入、人口密度、经济产值较高</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区域人均收入、人口密度、经济产值一般</w:t>
            </w:r>
          </w:p>
        </w:tc>
        <w:tc>
          <w:tcPr>
            <w:tcW w:w="155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区域人均收入、人口密度、经济产值较低</w:t>
            </w:r>
          </w:p>
        </w:tc>
        <w:tc>
          <w:tcPr>
            <w:tcW w:w="142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区域人均收入、人口密度、经济产值低</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159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1.92%</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0.96%</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5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-1.08%</w:t>
            </w:r>
          </w:p>
        </w:tc>
        <w:tc>
          <w:tcPr>
            <w:tcW w:w="142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-2.16%</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环境条件</w:t>
            </w:r>
          </w:p>
        </w:tc>
        <w:tc>
          <w:tcPr>
            <w:tcW w:w="159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地形平坦、距离灾害风险点远</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地形较平坦、距离灾害风险点较远</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地形基本平坦，有一定起伏、距离灾害风险点较远</w:t>
            </w:r>
          </w:p>
        </w:tc>
        <w:tc>
          <w:tcPr>
            <w:tcW w:w="155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地形有一定坡度、距离灾害风险点较近</w:t>
            </w:r>
          </w:p>
        </w:tc>
        <w:tc>
          <w:tcPr>
            <w:tcW w:w="142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地形坡度较大、距离灾害风险点近</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159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1.84%</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0.92%</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5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-1.03%</w:t>
            </w:r>
          </w:p>
        </w:tc>
        <w:tc>
          <w:tcPr>
            <w:tcW w:w="142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-2.07%</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区域规划</w:t>
            </w:r>
          </w:p>
        </w:tc>
        <w:tc>
          <w:tcPr>
            <w:tcW w:w="159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近期重点规划区</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近期次重点规划区</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一般规划区</w:t>
            </w:r>
          </w:p>
        </w:tc>
        <w:tc>
          <w:tcPr>
            <w:tcW w:w="155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中期规划区</w:t>
            </w:r>
          </w:p>
        </w:tc>
        <w:tc>
          <w:tcPr>
            <w:tcW w:w="142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远期规划区</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159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1.19%</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0.59%</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5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-0.67%</w:t>
            </w:r>
          </w:p>
        </w:tc>
        <w:tc>
          <w:tcPr>
            <w:tcW w:w="142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-1.34%</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宏观区位影响度</w:t>
            </w:r>
          </w:p>
        </w:tc>
        <w:tc>
          <w:tcPr>
            <w:tcW w:w="159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距周边中心城镇近，区域受其影响高</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距周边中心城镇较近，区域受其影响较高</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距周边中心城镇有一定距离，区域受其影响一般</w:t>
            </w:r>
          </w:p>
        </w:tc>
        <w:tc>
          <w:tcPr>
            <w:tcW w:w="155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距周边中心城镇较远，区域受其影响较低</w:t>
            </w:r>
          </w:p>
        </w:tc>
        <w:tc>
          <w:tcPr>
            <w:tcW w:w="142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周边中心城镇远，区域受其影响低</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159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1.71%</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0.86%</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5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-0.96%</w:t>
            </w:r>
          </w:p>
        </w:tc>
        <w:tc>
          <w:tcPr>
            <w:tcW w:w="142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-1.92%</w:t>
            </w:r>
          </w:p>
        </w:tc>
      </w:tr>
    </w:tbl>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集体商服用地区域因素修正系数表（六级）</w:t>
      </w:r>
    </w:p>
    <w:tbl>
      <w:tblPr>
        <w:tblStyle w:val="15"/>
        <w:tblW w:w="8931" w:type="dxa"/>
        <w:jc w:val="center"/>
        <w:tblLayout w:type="autofit"/>
        <w:tblCellMar>
          <w:top w:w="0" w:type="dxa"/>
          <w:left w:w="108" w:type="dxa"/>
          <w:bottom w:w="0" w:type="dxa"/>
          <w:right w:w="108" w:type="dxa"/>
        </w:tblCellMar>
      </w:tblPr>
      <w:tblGrid>
        <w:gridCol w:w="1241"/>
        <w:gridCol w:w="1538"/>
        <w:gridCol w:w="1538"/>
        <w:gridCol w:w="1538"/>
        <w:gridCol w:w="1538"/>
        <w:gridCol w:w="1538"/>
      </w:tblGrid>
      <w:tr>
        <w:tblPrEx>
          <w:tblCellMar>
            <w:top w:w="0" w:type="dxa"/>
            <w:left w:w="108" w:type="dxa"/>
            <w:bottom w:w="0" w:type="dxa"/>
            <w:right w:w="108" w:type="dxa"/>
          </w:tblCellMar>
        </w:tblPrEx>
        <w:trPr>
          <w:trHeight w:val="500" w:hRule="atLeast"/>
          <w:tblHeader/>
          <w:jc w:val="center"/>
        </w:trPr>
        <w:tc>
          <w:tcPr>
            <w:tcW w:w="1241"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pStyle w:val="32"/>
              <w:ind w:firstLine="211" w:firstLineChars="100"/>
              <w:jc w:val="both"/>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优劣度</w:t>
            </w:r>
            <w:r>
              <w:rPr>
                <w:rFonts w:hint="eastAsia" w:ascii="仿宋_GB2312" w:hAnsi="仿宋_GB2312" w:eastAsia="仿宋_GB2312" w:cs="仿宋_GB2312"/>
                <w:b/>
                <w:color w:val="auto"/>
                <w:highlight w:val="none"/>
              </w:rPr>
              <w:br w:type="textWrapping"/>
            </w:r>
            <w:r>
              <w:rPr>
                <w:rFonts w:hint="eastAsia" w:ascii="仿宋_GB2312" w:hAnsi="仿宋_GB2312" w:eastAsia="仿宋_GB2312" w:cs="仿宋_GB2312"/>
                <w:b/>
                <w:color w:val="auto"/>
                <w:highlight w:val="none"/>
              </w:rPr>
              <w:t>因素</w:t>
            </w:r>
          </w:p>
        </w:tc>
        <w:tc>
          <w:tcPr>
            <w:tcW w:w="15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2"/>
              <w:jc w:val="center"/>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优</w:t>
            </w:r>
          </w:p>
        </w:tc>
        <w:tc>
          <w:tcPr>
            <w:tcW w:w="15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2"/>
              <w:jc w:val="center"/>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较优</w:t>
            </w:r>
          </w:p>
        </w:tc>
        <w:tc>
          <w:tcPr>
            <w:tcW w:w="15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2"/>
              <w:jc w:val="center"/>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一般</w:t>
            </w:r>
          </w:p>
        </w:tc>
        <w:tc>
          <w:tcPr>
            <w:tcW w:w="15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2"/>
              <w:jc w:val="center"/>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较劣</w:t>
            </w:r>
          </w:p>
        </w:tc>
        <w:tc>
          <w:tcPr>
            <w:tcW w:w="15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2"/>
              <w:jc w:val="center"/>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劣</w:t>
            </w:r>
          </w:p>
        </w:tc>
      </w:tr>
      <w:tr>
        <w:tblPrEx>
          <w:tblCellMar>
            <w:top w:w="0" w:type="dxa"/>
            <w:left w:w="108" w:type="dxa"/>
            <w:bottom w:w="0" w:type="dxa"/>
            <w:right w:w="108" w:type="dxa"/>
          </w:tblCellMar>
        </w:tblPrEx>
        <w:trPr>
          <w:trHeight w:val="500" w:hRule="atLeast"/>
          <w:tblHeader/>
          <w:jc w:val="center"/>
        </w:trPr>
        <w:tc>
          <w:tcPr>
            <w:tcW w:w="1241" w:type="dxa"/>
            <w:vMerge w:val="continue"/>
            <w:tcBorders>
              <w:top w:val="single" w:color="auto" w:sz="4" w:space="0"/>
              <w:left w:val="single" w:color="auto" w:sz="4" w:space="0"/>
              <w:bottom w:val="single" w:color="auto" w:sz="4" w:space="0"/>
              <w:right w:val="single" w:color="auto" w:sz="4" w:space="0"/>
            </w:tcBorders>
            <w:vAlign w:val="center"/>
          </w:tcPr>
          <w:p>
            <w:pPr>
              <w:pStyle w:val="32"/>
              <w:rPr>
                <w:rFonts w:ascii="仿宋_GB2312" w:hAnsi="仿宋_GB2312" w:eastAsia="仿宋_GB2312" w:cs="仿宋_GB2312"/>
                <w:color w:val="auto"/>
                <w:highlight w:val="none"/>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pStyle w:val="32"/>
              <w:rPr>
                <w:rFonts w:ascii="仿宋_GB2312" w:hAnsi="仿宋_GB2312" w:eastAsia="仿宋_GB2312" w:cs="仿宋_GB2312"/>
                <w:color w:val="auto"/>
                <w:highlight w:val="none"/>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pStyle w:val="32"/>
              <w:rPr>
                <w:rFonts w:ascii="仿宋_GB2312" w:hAnsi="仿宋_GB2312" w:eastAsia="仿宋_GB2312" w:cs="仿宋_GB2312"/>
                <w:color w:val="auto"/>
                <w:highlight w:val="none"/>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pStyle w:val="32"/>
              <w:rPr>
                <w:rFonts w:ascii="仿宋_GB2312" w:hAnsi="仿宋_GB2312" w:eastAsia="仿宋_GB2312" w:cs="仿宋_GB2312"/>
                <w:color w:val="auto"/>
                <w:highlight w:val="none"/>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pStyle w:val="32"/>
              <w:rPr>
                <w:rFonts w:ascii="仿宋_GB2312" w:hAnsi="仿宋_GB2312" w:eastAsia="仿宋_GB2312" w:cs="仿宋_GB2312"/>
                <w:color w:val="auto"/>
                <w:highlight w:val="none"/>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pStyle w:val="32"/>
              <w:rPr>
                <w:rFonts w:ascii="仿宋_GB2312" w:hAnsi="仿宋_GB2312" w:eastAsia="仿宋_GB2312" w:cs="仿宋_GB2312"/>
                <w:color w:val="auto"/>
                <w:highlight w:val="none"/>
              </w:rPr>
            </w:pPr>
          </w:p>
        </w:tc>
      </w:tr>
      <w:tr>
        <w:tblPrEx>
          <w:tblCellMar>
            <w:top w:w="0" w:type="dxa"/>
            <w:left w:w="108" w:type="dxa"/>
            <w:bottom w:w="0" w:type="dxa"/>
            <w:right w:w="108" w:type="dxa"/>
          </w:tblCellMar>
        </w:tblPrEx>
        <w:trPr>
          <w:trHeight w:val="340"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繁华程度</w:t>
            </w:r>
          </w:p>
        </w:tc>
        <w:tc>
          <w:tcPr>
            <w:tcW w:w="15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距镇或村小卖铺近</w:t>
            </w:r>
          </w:p>
        </w:tc>
        <w:tc>
          <w:tcPr>
            <w:tcW w:w="15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距镇或村小卖铺较近</w:t>
            </w:r>
          </w:p>
        </w:tc>
        <w:tc>
          <w:tcPr>
            <w:tcW w:w="15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距镇或村小卖铺有一定距离</w:t>
            </w:r>
          </w:p>
        </w:tc>
        <w:tc>
          <w:tcPr>
            <w:tcW w:w="15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距镇或村小卖铺较远</w:t>
            </w:r>
          </w:p>
        </w:tc>
        <w:tc>
          <w:tcPr>
            <w:tcW w:w="15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距镇或村小卖铺远</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4.39%</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2.20%</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-1.96%</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-3.92%</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交通条件</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道路通达度高、距长途汽车站近、交通方便</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道路通达度较高、距长途汽车站较近，交通较方便</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道路通达度一般、距长途汽车站距离一般，交通一般</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道路通达度较低、距长途汽车站较远，交通较差</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道路通达度低、距长途汽车站远，交通不方便</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3.39%</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1.69%</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-1.51%</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-3.03%</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基本设施状况</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市政供水，供电保证率高，排水状况好，周围学校、银行、邮电局（所）、医院等生活设施配套完备</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市政供水，供电保证率较高，排水状况较好，周围学校、银行、邮电局（所）、医院等生活设施配套较完备</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市政供水，供电保证率一般，排水状况一般，周围学校、银行、邮电局（所）、医院等生活设施配套一般</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市政供水，供电保证率较低，排水状况较差，离学校、银行、邮电局（所）、医院等生活设施有一定的距离</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市政供水，供电保证率低，排水状况差，离学校、银行、邮电局（所）、医院较远，生活设施配套不完备</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3.31%</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1.66%</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-1.48%</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-2.96%</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社会经济状况</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区域人均收入、人口密度、经济产值高</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区域人均收入、人口密度、经济产值较高</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区域人均收入、人口密度、经济产值一般</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区域人均收入、人口密度、经济产值较低</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区域人均收入、人口密度、经济产值低</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1.85%</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0.92%</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-0.82%</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-1.65%</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环境条件</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地形平坦、距离灾害风险点远</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地形较平坦、距离灾害风险点较远</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地形基本平坦，有一定起伏、距离灾害风险点较远</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地形有一定坡度、距离灾害风险点较近</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地形坡度较大、距离灾害风险点近</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1.77%</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0.88%</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-0.79%</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-1.58%</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区域规划</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近期重点规划区</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近期次重点规划区</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一般规划区</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中期规划区</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远期规划区</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1.14%</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0.57%</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-0.51%</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-1.02%</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宏观区位影响度</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距周边中心城镇近，区域受其影响高</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距周边中心城镇较近，区域受其影响较高</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距周边中心城镇有一定距离，区域受其影响一般</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距周边中心城镇较远，区域受其影响较低</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周边中心城镇远，区域受其影响低</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修正系数</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1.65%</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0.82%</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0.00%</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-0.74%</w:t>
            </w:r>
          </w:p>
        </w:tc>
        <w:tc>
          <w:tcPr>
            <w:tcW w:w="153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highlight w:val="none"/>
              </w:rPr>
            </w:pPr>
            <w:r>
              <w:rPr>
                <w:rFonts w:hint="eastAsia" w:ascii="仿宋_GB2312" w:hAnsi="仿宋_GB2312" w:eastAsia="仿宋_GB2312" w:cs="仿宋_GB2312"/>
                <w:color w:val="000000"/>
                <w:kern w:val="0"/>
                <w:sz w:val="24"/>
                <w:highlight w:val="none"/>
              </w:rPr>
              <w:t>-1.47%</w:t>
            </w:r>
          </w:p>
        </w:tc>
      </w:tr>
    </w:tbl>
    <w:p>
      <w:pPr>
        <w:pStyle w:val="28"/>
        <w:keepNext w:val="0"/>
        <w:keepLines w:val="0"/>
        <w:pageBreakBefore w:val="0"/>
        <w:widowControl/>
        <w:numPr>
          <w:ilvl w:val="0"/>
          <w:numId w:val="2"/>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rPr>
      </w:pPr>
      <w:r>
        <w:rPr>
          <w:rFonts w:hint="default" w:ascii="仿宋_GB2312" w:hAnsi="仿宋_GB2312" w:eastAsia="仿宋_GB2312" w:cs="仿宋_GB2312"/>
          <w:b w:val="0"/>
          <w:bCs w:val="0"/>
          <w:sz w:val="32"/>
          <w:szCs w:val="32"/>
          <w:highlight w:val="none"/>
        </w:rPr>
        <w:t>容积率修正系数</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集体</w:t>
      </w:r>
      <w:r>
        <w:rPr>
          <w:rFonts w:hint="default" w:ascii="仿宋_GB2312" w:hAnsi="仿宋_GB2312" w:eastAsia="仿宋_GB2312" w:cs="仿宋_GB2312"/>
          <w:b w:val="0"/>
          <w:bCs w:val="0"/>
          <w:color w:val="auto"/>
          <w:kern w:val="28"/>
          <w:sz w:val="32"/>
          <w:szCs w:val="32"/>
          <w:highlight w:val="none"/>
          <w:lang w:val="en-US" w:eastAsia="zh-CN"/>
        </w:rPr>
        <w:t>商服用地容积率修正系数表</w:t>
      </w:r>
    </w:p>
    <w:tbl>
      <w:tblPr>
        <w:tblStyle w:val="15"/>
        <w:tblW w:w="5128" w:type="pct"/>
        <w:jc w:val="center"/>
        <w:tblLayout w:type="fixed"/>
        <w:tblCellMar>
          <w:top w:w="0" w:type="dxa"/>
          <w:left w:w="108" w:type="dxa"/>
          <w:bottom w:w="0" w:type="dxa"/>
          <w:right w:w="108" w:type="dxa"/>
        </w:tblCellMar>
      </w:tblPr>
      <w:tblGrid>
        <w:gridCol w:w="1155"/>
        <w:gridCol w:w="1166"/>
        <w:gridCol w:w="917"/>
        <w:gridCol w:w="917"/>
        <w:gridCol w:w="917"/>
        <w:gridCol w:w="917"/>
        <w:gridCol w:w="918"/>
        <w:gridCol w:w="917"/>
        <w:gridCol w:w="917"/>
      </w:tblGrid>
      <w:tr>
        <w:tblPrEx>
          <w:tblCellMar>
            <w:top w:w="0" w:type="dxa"/>
            <w:left w:w="108" w:type="dxa"/>
            <w:bottom w:w="0" w:type="dxa"/>
            <w:right w:w="108" w:type="dxa"/>
          </w:tblCellMar>
        </w:tblPrEx>
        <w:trPr>
          <w:trHeight w:val="270" w:hRule="atLeast"/>
          <w:jc w:val="center"/>
        </w:trPr>
        <w:tc>
          <w:tcPr>
            <w:tcW w:w="660" w:type="pct"/>
            <w:tcBorders>
              <w:top w:val="single" w:color="auto" w:sz="4" w:space="0"/>
              <w:left w:val="single" w:color="000000" w:sz="8" w:space="0"/>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容积率</w:t>
            </w:r>
          </w:p>
        </w:tc>
        <w:tc>
          <w:tcPr>
            <w:tcW w:w="666" w:type="pct"/>
            <w:tcBorders>
              <w:top w:val="single" w:color="auto" w:sz="4" w:space="0"/>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1</w:t>
            </w:r>
          </w:p>
        </w:tc>
        <w:tc>
          <w:tcPr>
            <w:tcW w:w="524" w:type="pct"/>
            <w:tcBorders>
              <w:top w:val="single" w:color="auto" w:sz="4" w:space="0"/>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1.1</w:t>
            </w:r>
          </w:p>
        </w:tc>
        <w:tc>
          <w:tcPr>
            <w:tcW w:w="524" w:type="pct"/>
            <w:tcBorders>
              <w:top w:val="single" w:color="auto" w:sz="4" w:space="0"/>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1.2</w:t>
            </w:r>
          </w:p>
        </w:tc>
        <w:tc>
          <w:tcPr>
            <w:tcW w:w="524" w:type="pct"/>
            <w:tcBorders>
              <w:top w:val="single" w:color="auto" w:sz="4" w:space="0"/>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1.3</w:t>
            </w:r>
          </w:p>
        </w:tc>
        <w:tc>
          <w:tcPr>
            <w:tcW w:w="524" w:type="pct"/>
            <w:tcBorders>
              <w:top w:val="single" w:color="auto" w:sz="4" w:space="0"/>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1.4</w:t>
            </w:r>
          </w:p>
        </w:tc>
        <w:tc>
          <w:tcPr>
            <w:tcW w:w="525" w:type="pct"/>
            <w:tcBorders>
              <w:top w:val="single" w:color="auto" w:sz="4" w:space="0"/>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1.5</w:t>
            </w:r>
          </w:p>
        </w:tc>
        <w:tc>
          <w:tcPr>
            <w:tcW w:w="524" w:type="pct"/>
            <w:tcBorders>
              <w:top w:val="single" w:color="auto" w:sz="4" w:space="0"/>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1.6</w:t>
            </w:r>
          </w:p>
        </w:tc>
        <w:tc>
          <w:tcPr>
            <w:tcW w:w="524" w:type="pct"/>
            <w:tcBorders>
              <w:top w:val="single" w:color="auto" w:sz="4" w:space="0"/>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1.7</w:t>
            </w:r>
          </w:p>
        </w:tc>
      </w:tr>
      <w:tr>
        <w:tblPrEx>
          <w:tblCellMar>
            <w:top w:w="0" w:type="dxa"/>
            <w:left w:w="108" w:type="dxa"/>
            <w:bottom w:w="0" w:type="dxa"/>
            <w:right w:w="108" w:type="dxa"/>
          </w:tblCellMar>
        </w:tblPrEx>
        <w:trPr>
          <w:trHeight w:val="285" w:hRule="atLeast"/>
          <w:jc w:val="center"/>
        </w:trPr>
        <w:tc>
          <w:tcPr>
            <w:tcW w:w="660" w:type="pct"/>
            <w:tcBorders>
              <w:top w:val="nil"/>
              <w:left w:val="single" w:color="000000" w:sz="8" w:space="0"/>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修正系数</w:t>
            </w:r>
          </w:p>
        </w:tc>
        <w:tc>
          <w:tcPr>
            <w:tcW w:w="666" w:type="pct"/>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firstLine="0" w:firstLineChars="0"/>
              <w:jc w:val="center"/>
              <w:textAlignment w:val="center"/>
              <w:rPr>
                <w:rFonts w:hint="eastAsia" w:ascii="仿宋_GB2312" w:hAnsi="仿宋_GB2312" w:eastAsia="仿宋_GB2312" w:cs="仿宋_GB2312"/>
                <w:color w:val="auto"/>
                <w:w w:val="90"/>
                <w:kern w:val="28"/>
                <w:sz w:val="21"/>
                <w:szCs w:val="20"/>
                <w:highlight w:val="none"/>
                <w:lang w:val="en-US" w:eastAsia="zh-CN" w:bidi="ar-SA"/>
              </w:rPr>
            </w:pPr>
            <w:r>
              <w:rPr>
                <w:rFonts w:hint="eastAsia" w:ascii="仿宋_GB2312" w:hAnsi="仿宋_GB2312" w:eastAsia="仿宋_GB2312" w:cs="仿宋_GB2312"/>
                <w:color w:val="auto"/>
                <w:w w:val="90"/>
                <w:kern w:val="28"/>
                <w:sz w:val="21"/>
                <w:szCs w:val="21"/>
                <w:highlight w:val="none"/>
                <w:lang w:val="en-US" w:eastAsia="zh-CN" w:bidi="ar-SA"/>
              </w:rPr>
              <w:t>≤</w:t>
            </w:r>
            <w:r>
              <w:rPr>
                <w:rFonts w:hint="eastAsia" w:ascii="仿宋_GB2312" w:hAnsi="仿宋_GB2312" w:eastAsia="仿宋_GB2312" w:cs="仿宋_GB2312"/>
                <w:color w:val="auto"/>
                <w:w w:val="90"/>
                <w:kern w:val="28"/>
                <w:sz w:val="21"/>
                <w:szCs w:val="20"/>
                <w:highlight w:val="none"/>
                <w:lang w:val="en-US" w:eastAsia="zh-CN" w:bidi="ar-SA"/>
              </w:rPr>
              <w:t>1.2999</w:t>
            </w:r>
          </w:p>
        </w:tc>
        <w:tc>
          <w:tcPr>
            <w:tcW w:w="524" w:type="pct"/>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firstLine="0" w:firstLineChars="0"/>
              <w:jc w:val="center"/>
              <w:textAlignment w:val="center"/>
              <w:rPr>
                <w:rFonts w:hint="eastAsia" w:ascii="仿宋_GB2312" w:hAnsi="仿宋_GB2312" w:eastAsia="仿宋_GB2312" w:cs="仿宋_GB2312"/>
                <w:color w:val="auto"/>
                <w:w w:val="90"/>
                <w:kern w:val="28"/>
                <w:sz w:val="21"/>
                <w:szCs w:val="20"/>
                <w:highlight w:val="none"/>
                <w:lang w:val="en-US" w:eastAsia="zh-CN" w:bidi="ar-SA"/>
              </w:rPr>
            </w:pPr>
            <w:r>
              <w:rPr>
                <w:rFonts w:hint="eastAsia" w:ascii="仿宋_GB2312" w:hAnsi="仿宋_GB2312" w:eastAsia="仿宋_GB2312" w:cs="仿宋_GB2312"/>
                <w:color w:val="auto"/>
                <w:w w:val="90"/>
                <w:kern w:val="28"/>
                <w:sz w:val="21"/>
                <w:szCs w:val="20"/>
                <w:highlight w:val="none"/>
                <w:lang w:val="en-US" w:eastAsia="zh-CN" w:bidi="ar-SA"/>
              </w:rPr>
              <w:t>1.2402</w:t>
            </w:r>
          </w:p>
        </w:tc>
        <w:tc>
          <w:tcPr>
            <w:tcW w:w="524" w:type="pct"/>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firstLine="0" w:firstLineChars="0"/>
              <w:jc w:val="center"/>
              <w:textAlignment w:val="center"/>
              <w:rPr>
                <w:rFonts w:hint="eastAsia" w:ascii="仿宋_GB2312" w:hAnsi="仿宋_GB2312" w:eastAsia="仿宋_GB2312" w:cs="仿宋_GB2312"/>
                <w:color w:val="auto"/>
                <w:w w:val="90"/>
                <w:kern w:val="28"/>
                <w:sz w:val="21"/>
                <w:szCs w:val="20"/>
                <w:highlight w:val="none"/>
                <w:lang w:val="en-US" w:eastAsia="zh-CN" w:bidi="ar-SA"/>
              </w:rPr>
            </w:pPr>
            <w:r>
              <w:rPr>
                <w:rFonts w:hint="eastAsia" w:ascii="仿宋_GB2312" w:hAnsi="仿宋_GB2312" w:eastAsia="仿宋_GB2312" w:cs="仿宋_GB2312"/>
                <w:color w:val="auto"/>
                <w:w w:val="90"/>
                <w:kern w:val="28"/>
                <w:sz w:val="21"/>
                <w:szCs w:val="20"/>
                <w:highlight w:val="none"/>
                <w:lang w:val="en-US" w:eastAsia="zh-CN" w:bidi="ar-SA"/>
              </w:rPr>
              <w:t>1.1739</w:t>
            </w:r>
          </w:p>
        </w:tc>
        <w:tc>
          <w:tcPr>
            <w:tcW w:w="524" w:type="pct"/>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firstLine="0" w:firstLineChars="0"/>
              <w:jc w:val="center"/>
              <w:textAlignment w:val="center"/>
              <w:rPr>
                <w:rFonts w:hint="eastAsia" w:ascii="仿宋_GB2312" w:hAnsi="仿宋_GB2312" w:eastAsia="仿宋_GB2312" w:cs="仿宋_GB2312"/>
                <w:color w:val="auto"/>
                <w:w w:val="90"/>
                <w:kern w:val="28"/>
                <w:sz w:val="21"/>
                <w:szCs w:val="20"/>
                <w:highlight w:val="none"/>
                <w:lang w:val="en-US" w:eastAsia="zh-CN" w:bidi="ar-SA"/>
              </w:rPr>
            </w:pPr>
            <w:r>
              <w:rPr>
                <w:rFonts w:hint="eastAsia" w:ascii="仿宋_GB2312" w:hAnsi="仿宋_GB2312" w:eastAsia="仿宋_GB2312" w:cs="仿宋_GB2312"/>
                <w:color w:val="auto"/>
                <w:w w:val="90"/>
                <w:kern w:val="28"/>
                <w:sz w:val="21"/>
                <w:szCs w:val="20"/>
                <w:highlight w:val="none"/>
                <w:lang w:val="en-US" w:eastAsia="zh-CN" w:bidi="ar-SA"/>
              </w:rPr>
              <w:t>1.1231</w:t>
            </w:r>
          </w:p>
        </w:tc>
        <w:tc>
          <w:tcPr>
            <w:tcW w:w="524" w:type="pct"/>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firstLine="0" w:firstLineChars="0"/>
              <w:jc w:val="center"/>
              <w:textAlignment w:val="center"/>
              <w:rPr>
                <w:rFonts w:hint="eastAsia" w:ascii="仿宋_GB2312" w:hAnsi="仿宋_GB2312" w:eastAsia="仿宋_GB2312" w:cs="仿宋_GB2312"/>
                <w:color w:val="auto"/>
                <w:w w:val="90"/>
                <w:kern w:val="28"/>
                <w:sz w:val="21"/>
                <w:szCs w:val="20"/>
                <w:highlight w:val="none"/>
                <w:lang w:val="en-US" w:eastAsia="zh-CN" w:bidi="ar-SA"/>
              </w:rPr>
            </w:pPr>
            <w:r>
              <w:rPr>
                <w:rFonts w:hint="eastAsia" w:ascii="仿宋_GB2312" w:hAnsi="仿宋_GB2312" w:eastAsia="仿宋_GB2312" w:cs="仿宋_GB2312"/>
                <w:color w:val="auto"/>
                <w:w w:val="90"/>
                <w:kern w:val="28"/>
                <w:sz w:val="21"/>
                <w:szCs w:val="20"/>
                <w:highlight w:val="none"/>
                <w:lang w:val="en-US" w:eastAsia="zh-CN" w:bidi="ar-SA"/>
              </w:rPr>
              <w:t>1.0624</w:t>
            </w:r>
          </w:p>
        </w:tc>
        <w:tc>
          <w:tcPr>
            <w:tcW w:w="525" w:type="pct"/>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firstLine="0" w:firstLineChars="0"/>
              <w:jc w:val="center"/>
              <w:textAlignment w:val="center"/>
              <w:rPr>
                <w:rFonts w:hint="eastAsia" w:ascii="仿宋_GB2312" w:hAnsi="仿宋_GB2312" w:eastAsia="仿宋_GB2312" w:cs="仿宋_GB2312"/>
                <w:color w:val="auto"/>
                <w:w w:val="90"/>
                <w:kern w:val="28"/>
                <w:sz w:val="21"/>
                <w:szCs w:val="20"/>
                <w:highlight w:val="none"/>
                <w:lang w:val="en-US" w:eastAsia="zh-CN" w:bidi="ar-SA"/>
              </w:rPr>
            </w:pPr>
            <w:r>
              <w:rPr>
                <w:rFonts w:hint="eastAsia" w:ascii="仿宋_GB2312" w:hAnsi="仿宋_GB2312" w:eastAsia="仿宋_GB2312" w:cs="仿宋_GB2312"/>
                <w:color w:val="auto"/>
                <w:w w:val="90"/>
                <w:kern w:val="28"/>
                <w:sz w:val="21"/>
                <w:szCs w:val="20"/>
                <w:highlight w:val="none"/>
                <w:lang w:val="en-US" w:eastAsia="zh-CN" w:bidi="ar-SA"/>
              </w:rPr>
              <w:t>1.0303</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1.000</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0.9812</w:t>
            </w:r>
          </w:p>
        </w:tc>
      </w:tr>
      <w:tr>
        <w:tblPrEx>
          <w:tblCellMar>
            <w:top w:w="0" w:type="dxa"/>
            <w:left w:w="108" w:type="dxa"/>
            <w:bottom w:w="0" w:type="dxa"/>
            <w:right w:w="108" w:type="dxa"/>
          </w:tblCellMar>
        </w:tblPrEx>
        <w:trPr>
          <w:trHeight w:val="285" w:hRule="atLeast"/>
          <w:jc w:val="center"/>
        </w:trPr>
        <w:tc>
          <w:tcPr>
            <w:tcW w:w="660" w:type="pct"/>
            <w:tcBorders>
              <w:top w:val="nil"/>
              <w:left w:val="single" w:color="000000" w:sz="8" w:space="0"/>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容积率</w:t>
            </w:r>
          </w:p>
        </w:tc>
        <w:tc>
          <w:tcPr>
            <w:tcW w:w="666"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1.8</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1.9</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2</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2.1</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2.2</w:t>
            </w:r>
          </w:p>
        </w:tc>
        <w:tc>
          <w:tcPr>
            <w:tcW w:w="525"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2.3</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2.4</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2.5</w:t>
            </w:r>
          </w:p>
        </w:tc>
      </w:tr>
      <w:tr>
        <w:tblPrEx>
          <w:tblCellMar>
            <w:top w:w="0" w:type="dxa"/>
            <w:left w:w="108" w:type="dxa"/>
            <w:bottom w:w="0" w:type="dxa"/>
            <w:right w:w="108" w:type="dxa"/>
          </w:tblCellMar>
        </w:tblPrEx>
        <w:trPr>
          <w:trHeight w:val="285" w:hRule="atLeast"/>
          <w:jc w:val="center"/>
        </w:trPr>
        <w:tc>
          <w:tcPr>
            <w:tcW w:w="660" w:type="pct"/>
            <w:tcBorders>
              <w:top w:val="nil"/>
              <w:left w:val="single" w:color="000000" w:sz="8" w:space="0"/>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修正系数</w:t>
            </w:r>
          </w:p>
        </w:tc>
        <w:tc>
          <w:tcPr>
            <w:tcW w:w="666"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0.9635</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0.9471</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0.9317</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0.9169</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0.8901</w:t>
            </w:r>
          </w:p>
        </w:tc>
        <w:tc>
          <w:tcPr>
            <w:tcW w:w="525"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0.8775</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0.8657</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0.8543</w:t>
            </w:r>
          </w:p>
        </w:tc>
      </w:tr>
      <w:tr>
        <w:tblPrEx>
          <w:tblCellMar>
            <w:top w:w="0" w:type="dxa"/>
            <w:left w:w="108" w:type="dxa"/>
            <w:bottom w:w="0" w:type="dxa"/>
            <w:right w:w="108" w:type="dxa"/>
          </w:tblCellMar>
        </w:tblPrEx>
        <w:trPr>
          <w:trHeight w:val="285" w:hRule="atLeast"/>
          <w:jc w:val="center"/>
        </w:trPr>
        <w:tc>
          <w:tcPr>
            <w:tcW w:w="660" w:type="pct"/>
            <w:tcBorders>
              <w:top w:val="nil"/>
              <w:left w:val="single" w:color="000000" w:sz="8" w:space="0"/>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容积率</w:t>
            </w:r>
          </w:p>
        </w:tc>
        <w:tc>
          <w:tcPr>
            <w:tcW w:w="666"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2.6</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2.7</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2.8</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2.9</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sz w:val="21"/>
                <w:szCs w:val="21"/>
                <w:highlight w:val="none"/>
                <w:lang w:val="en-US" w:eastAsia="zh-CN"/>
              </w:rPr>
              <w:t>≥</w:t>
            </w:r>
            <w:r>
              <w:rPr>
                <w:rFonts w:hint="eastAsia" w:ascii="仿宋_GB2312" w:hAnsi="仿宋_GB2312" w:eastAsia="仿宋_GB2312" w:cs="仿宋_GB2312"/>
                <w:color w:val="auto"/>
                <w:w w:val="90"/>
                <w:highlight w:val="none"/>
              </w:rPr>
              <w:t>3</w:t>
            </w:r>
          </w:p>
        </w:tc>
        <w:tc>
          <w:tcPr>
            <w:tcW w:w="1574" w:type="pct"/>
            <w:gridSpan w:val="3"/>
            <w:vMerge w:val="restart"/>
            <w:tcBorders>
              <w:top w:val="nil"/>
              <w:left w:val="nil"/>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highlight w:val="none"/>
              </w:rPr>
              <w:t>-</w:t>
            </w:r>
          </w:p>
        </w:tc>
      </w:tr>
      <w:tr>
        <w:tblPrEx>
          <w:tblCellMar>
            <w:top w:w="0" w:type="dxa"/>
            <w:left w:w="108" w:type="dxa"/>
            <w:bottom w:w="0" w:type="dxa"/>
            <w:right w:w="108" w:type="dxa"/>
          </w:tblCellMar>
        </w:tblPrEx>
        <w:trPr>
          <w:trHeight w:val="285" w:hRule="atLeast"/>
          <w:jc w:val="center"/>
        </w:trPr>
        <w:tc>
          <w:tcPr>
            <w:tcW w:w="660" w:type="pct"/>
            <w:tcBorders>
              <w:top w:val="nil"/>
              <w:left w:val="single" w:color="000000" w:sz="8" w:space="0"/>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修正系数</w:t>
            </w:r>
          </w:p>
        </w:tc>
        <w:tc>
          <w:tcPr>
            <w:tcW w:w="666"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0.8436</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0.8331</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0.8234</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0.8138</w:t>
            </w:r>
          </w:p>
        </w:tc>
        <w:tc>
          <w:tcPr>
            <w:tcW w:w="524" w:type="pct"/>
            <w:tcBorders>
              <w:top w:val="nil"/>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r>
              <w:rPr>
                <w:rFonts w:hint="eastAsia" w:ascii="仿宋_GB2312" w:hAnsi="仿宋_GB2312" w:eastAsia="仿宋_GB2312" w:cs="仿宋_GB2312"/>
                <w:color w:val="auto"/>
                <w:w w:val="90"/>
                <w:highlight w:val="none"/>
              </w:rPr>
              <w:t>0.8071</w:t>
            </w:r>
          </w:p>
        </w:tc>
        <w:tc>
          <w:tcPr>
            <w:tcW w:w="1574" w:type="pct"/>
            <w:gridSpan w:val="3"/>
            <w:vMerge w:val="continue"/>
            <w:tcBorders>
              <w:left w:val="nil"/>
              <w:bottom w:val="single" w:color="000000" w:sz="8" w:space="0"/>
              <w:right w:val="single" w:color="000000" w:sz="8" w:space="0"/>
            </w:tcBorders>
            <w:shd w:val="clear" w:color="auto" w:fill="FFFFFF"/>
            <w:noWrap/>
            <w:vAlign w:val="center"/>
          </w:tcPr>
          <w:p>
            <w:pPr>
              <w:pStyle w:val="32"/>
              <w:spacing w:line="240" w:lineRule="auto"/>
              <w:jc w:val="center"/>
              <w:rPr>
                <w:rFonts w:ascii="仿宋_GB2312" w:hAnsi="仿宋_GB2312" w:eastAsia="仿宋_GB2312" w:cs="仿宋_GB2312"/>
                <w:color w:val="auto"/>
                <w:w w:val="90"/>
                <w:highlight w:val="none"/>
              </w:rPr>
            </w:pPr>
          </w:p>
        </w:tc>
      </w:tr>
    </w:tbl>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注：当宗地容积率在上述容积率之间时，容积率修正系数需根据上表有关数据线性内插计算得到。线性内插公式：当r1＜r＜r2（即r1、r2为修正系数表中r的相邻容积率）时，x1、x2为r1、r2对应的容积率修正系数，容积率的修正系数：x=x1+（x2-x1）×（r-r1）/（r2-r1）</w:t>
      </w:r>
      <w:r>
        <w:rPr>
          <w:rFonts w:hint="eastAsia" w:eastAsia="仿宋" w:cs="Times New Roman"/>
          <w:color w:val="auto"/>
          <w:sz w:val="24"/>
          <w:szCs w:val="24"/>
          <w:highlight w:val="none"/>
          <w:lang w:val="en-US" w:eastAsia="zh-CN"/>
        </w:rPr>
        <w:t>。</w:t>
      </w:r>
    </w:p>
    <w:p>
      <w:pPr>
        <w:pStyle w:val="28"/>
        <w:keepNext w:val="0"/>
        <w:keepLines w:val="0"/>
        <w:pageBreakBefore w:val="0"/>
        <w:widowControl/>
        <w:numPr>
          <w:ilvl w:val="0"/>
          <w:numId w:val="2"/>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rPr>
      </w:pPr>
      <w:r>
        <w:rPr>
          <w:rFonts w:hint="default" w:ascii="仿宋_GB2312" w:hAnsi="仿宋_GB2312" w:eastAsia="仿宋_GB2312" w:cs="仿宋_GB2312"/>
          <w:b w:val="0"/>
          <w:bCs w:val="0"/>
          <w:sz w:val="32"/>
          <w:szCs w:val="32"/>
          <w:highlight w:val="none"/>
        </w:rPr>
        <w:t>楼层修正系数</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商服用地楼层修正系数表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1149"/>
        <w:gridCol w:w="2344"/>
        <w:gridCol w:w="3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76" w:type="pct"/>
            <w:tcBorders>
              <w:top w:val="single" w:color="auto" w:sz="4" w:space="0"/>
            </w:tcBorders>
            <w:noWrap/>
            <w:vAlign w:val="center"/>
          </w:tcPr>
          <w:p>
            <w:pPr>
              <w:widowControl/>
              <w:adjustRightInd w:val="0"/>
              <w:snapToGrid w:val="0"/>
              <w:spacing w:line="240" w:lineRule="auto"/>
              <w:ind w:firstLine="0" w:firstLineChars="0"/>
              <w:jc w:val="center"/>
              <w:rPr>
                <w:rFonts w:ascii="仿宋_GB2312" w:hAnsi="仿宋_GB2312" w:eastAsia="仿宋_GB2312" w:cs="仿宋_GB2312"/>
                <w:b/>
                <w:kern w:val="0"/>
                <w:sz w:val="24"/>
                <w:szCs w:val="21"/>
                <w:highlight w:val="none"/>
              </w:rPr>
            </w:pPr>
            <w:r>
              <w:rPr>
                <w:rFonts w:hint="eastAsia" w:ascii="仿宋_GB2312" w:hAnsi="仿宋_GB2312" w:eastAsia="仿宋_GB2312" w:cs="仿宋_GB2312"/>
                <w:b/>
                <w:kern w:val="0"/>
                <w:sz w:val="24"/>
                <w:szCs w:val="21"/>
                <w:highlight w:val="none"/>
              </w:rPr>
              <w:t>楼层</w:t>
            </w:r>
          </w:p>
        </w:tc>
        <w:tc>
          <w:tcPr>
            <w:tcW w:w="674" w:type="pct"/>
            <w:tcBorders>
              <w:top w:val="single" w:color="auto" w:sz="4" w:space="0"/>
            </w:tcBorders>
            <w:noWrap/>
            <w:vAlign w:val="center"/>
          </w:tcPr>
          <w:p>
            <w:pPr>
              <w:widowControl/>
              <w:adjustRightInd w:val="0"/>
              <w:snapToGrid w:val="0"/>
              <w:spacing w:line="240" w:lineRule="auto"/>
              <w:ind w:firstLine="0" w:firstLineChars="0"/>
              <w:jc w:val="center"/>
              <w:rPr>
                <w:rFonts w:ascii="仿宋_GB2312" w:hAnsi="仿宋_GB2312" w:eastAsia="仿宋_GB2312" w:cs="仿宋_GB2312"/>
                <w:b/>
                <w:kern w:val="0"/>
                <w:sz w:val="24"/>
                <w:szCs w:val="21"/>
                <w:highlight w:val="none"/>
              </w:rPr>
            </w:pPr>
            <w:r>
              <w:rPr>
                <w:rFonts w:hint="eastAsia" w:ascii="仿宋_GB2312" w:hAnsi="仿宋_GB2312" w:eastAsia="仿宋_GB2312" w:cs="仿宋_GB2312"/>
                <w:b/>
                <w:kern w:val="0"/>
                <w:sz w:val="24"/>
                <w:szCs w:val="21"/>
                <w:highlight w:val="none"/>
              </w:rPr>
              <w:t>首层</w:t>
            </w:r>
          </w:p>
        </w:tc>
        <w:tc>
          <w:tcPr>
            <w:tcW w:w="1375" w:type="pct"/>
            <w:tcBorders>
              <w:top w:val="single" w:color="auto" w:sz="4" w:space="0"/>
            </w:tcBorders>
            <w:noWrap/>
            <w:vAlign w:val="center"/>
          </w:tcPr>
          <w:p>
            <w:pPr>
              <w:widowControl/>
              <w:adjustRightInd w:val="0"/>
              <w:snapToGrid w:val="0"/>
              <w:spacing w:line="240" w:lineRule="auto"/>
              <w:ind w:firstLine="0" w:firstLineChars="0"/>
              <w:jc w:val="center"/>
              <w:rPr>
                <w:rFonts w:ascii="仿宋_GB2312" w:hAnsi="仿宋_GB2312" w:eastAsia="仿宋_GB2312" w:cs="仿宋_GB2312"/>
                <w:b/>
                <w:kern w:val="0"/>
                <w:sz w:val="24"/>
                <w:szCs w:val="21"/>
                <w:highlight w:val="none"/>
              </w:rPr>
            </w:pPr>
            <w:r>
              <w:rPr>
                <w:rFonts w:hint="eastAsia" w:ascii="仿宋_GB2312" w:hAnsi="仿宋_GB2312" w:eastAsia="仿宋_GB2312" w:cs="仿宋_GB2312"/>
                <w:b/>
                <w:kern w:val="0"/>
                <w:sz w:val="24"/>
                <w:szCs w:val="21"/>
                <w:highlight w:val="none"/>
              </w:rPr>
              <w:t>第二层、夹层</w:t>
            </w:r>
          </w:p>
        </w:tc>
        <w:tc>
          <w:tcPr>
            <w:tcW w:w="1973" w:type="pct"/>
            <w:tcBorders>
              <w:top w:val="single" w:color="auto" w:sz="4" w:space="0"/>
            </w:tcBorders>
            <w:noWrap/>
            <w:vAlign w:val="center"/>
          </w:tcPr>
          <w:p>
            <w:pPr>
              <w:widowControl/>
              <w:adjustRightInd w:val="0"/>
              <w:snapToGrid w:val="0"/>
              <w:spacing w:line="240" w:lineRule="auto"/>
              <w:ind w:firstLine="0" w:firstLineChars="0"/>
              <w:jc w:val="center"/>
              <w:rPr>
                <w:rFonts w:ascii="仿宋_GB2312" w:hAnsi="仿宋_GB2312" w:eastAsia="仿宋_GB2312" w:cs="仿宋_GB2312"/>
                <w:b/>
                <w:kern w:val="0"/>
                <w:sz w:val="24"/>
                <w:szCs w:val="21"/>
                <w:highlight w:val="none"/>
              </w:rPr>
            </w:pPr>
            <w:r>
              <w:rPr>
                <w:rFonts w:hint="eastAsia" w:ascii="仿宋_GB2312" w:hAnsi="仿宋_GB2312" w:eastAsia="仿宋_GB2312" w:cs="仿宋_GB2312"/>
                <w:b/>
                <w:kern w:val="0"/>
                <w:sz w:val="24"/>
                <w:szCs w:val="21"/>
                <w:highlight w:val="none"/>
              </w:rPr>
              <w:t>第三层、地下负一层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pct"/>
            <w:noWrap/>
            <w:vAlign w:val="center"/>
          </w:tcPr>
          <w:p>
            <w:pPr>
              <w:widowControl/>
              <w:adjustRightInd w:val="0"/>
              <w:snapToGrid w:val="0"/>
              <w:spacing w:line="240" w:lineRule="auto"/>
              <w:ind w:firstLine="0" w:firstLineChars="0"/>
              <w:jc w:val="center"/>
              <w:rPr>
                <w:rFonts w:ascii="仿宋_GB2312" w:hAnsi="仿宋_GB2312" w:eastAsia="仿宋_GB2312" w:cs="仿宋_GB2312"/>
                <w:b/>
                <w:kern w:val="0"/>
                <w:sz w:val="24"/>
                <w:szCs w:val="21"/>
                <w:highlight w:val="none"/>
              </w:rPr>
            </w:pPr>
            <w:r>
              <w:rPr>
                <w:rFonts w:hint="eastAsia" w:ascii="仿宋_GB2312" w:hAnsi="仿宋_GB2312" w:eastAsia="仿宋_GB2312" w:cs="仿宋_GB2312"/>
                <w:b/>
                <w:kern w:val="0"/>
                <w:sz w:val="24"/>
                <w:szCs w:val="21"/>
                <w:highlight w:val="none"/>
              </w:rPr>
              <w:t>修正系数</w:t>
            </w:r>
          </w:p>
        </w:tc>
        <w:tc>
          <w:tcPr>
            <w:tcW w:w="1149" w:type="dxa"/>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bCs/>
                <w:kern w:val="0"/>
                <w:sz w:val="24"/>
                <w:szCs w:val="21"/>
                <w:highlight w:val="none"/>
              </w:rPr>
            </w:pPr>
            <w:r>
              <w:rPr>
                <w:rFonts w:hint="eastAsia" w:ascii="仿宋_GB2312" w:hAnsi="仿宋_GB2312" w:eastAsia="仿宋_GB2312" w:cs="仿宋_GB2312"/>
                <w:color w:val="000000"/>
                <w:kern w:val="0"/>
                <w:sz w:val="24"/>
                <w:highlight w:val="none"/>
              </w:rPr>
              <w:t>1.681</w:t>
            </w:r>
          </w:p>
        </w:tc>
        <w:tc>
          <w:tcPr>
            <w:tcW w:w="2344" w:type="dxa"/>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bCs/>
                <w:kern w:val="0"/>
                <w:sz w:val="24"/>
                <w:szCs w:val="21"/>
                <w:highlight w:val="none"/>
              </w:rPr>
            </w:pPr>
            <w:r>
              <w:rPr>
                <w:rFonts w:hint="eastAsia" w:ascii="仿宋_GB2312" w:hAnsi="仿宋_GB2312" w:eastAsia="仿宋_GB2312" w:cs="仿宋_GB2312"/>
                <w:color w:val="000000"/>
                <w:kern w:val="0"/>
                <w:sz w:val="24"/>
                <w:highlight w:val="none"/>
              </w:rPr>
              <w:t>0.755</w:t>
            </w:r>
          </w:p>
        </w:tc>
        <w:tc>
          <w:tcPr>
            <w:tcW w:w="3363" w:type="dxa"/>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bCs/>
                <w:kern w:val="0"/>
                <w:sz w:val="24"/>
                <w:szCs w:val="21"/>
                <w:highlight w:val="none"/>
              </w:rPr>
            </w:pPr>
            <w:r>
              <w:rPr>
                <w:rFonts w:hint="eastAsia" w:ascii="仿宋_GB2312" w:hAnsi="仿宋_GB2312" w:eastAsia="仿宋_GB2312" w:cs="仿宋_GB2312"/>
                <w:color w:val="000000"/>
                <w:kern w:val="0"/>
                <w:sz w:val="24"/>
                <w:highlight w:val="none"/>
              </w:rPr>
              <w:t>0.5613</w:t>
            </w:r>
          </w:p>
        </w:tc>
      </w:tr>
    </w:tbl>
    <w:p>
      <w:pPr>
        <w:adjustRightInd w:val="0"/>
        <w:snapToGrid w:val="0"/>
        <w:spacing w:before="72" w:after="72" w:line="240" w:lineRule="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注：①本表仅适用于批发、零售类型的商服用地已建成项目，采用楼面地价测算宗地价格；对其他类型的商服用地不进行楼层修正。②修正后得到的结果是第n层的楼面地价。</w:t>
      </w:r>
    </w:p>
    <w:p>
      <w:pPr>
        <w:pStyle w:val="28"/>
        <w:keepNext w:val="0"/>
        <w:keepLines w:val="0"/>
        <w:pageBreakBefore w:val="0"/>
        <w:widowControl/>
        <w:numPr>
          <w:ilvl w:val="0"/>
          <w:numId w:val="2"/>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rPr>
      </w:pPr>
      <w:r>
        <w:rPr>
          <w:rFonts w:hint="default" w:ascii="仿宋_GB2312" w:hAnsi="仿宋_GB2312" w:eastAsia="仿宋_GB2312" w:cs="仿宋_GB2312"/>
          <w:b w:val="0"/>
          <w:bCs w:val="0"/>
          <w:sz w:val="32"/>
          <w:szCs w:val="32"/>
          <w:highlight w:val="none"/>
        </w:rPr>
        <w:t>街角地修正系数</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街角地修正系数</w:t>
      </w:r>
    </w:p>
    <w:tbl>
      <w:tblPr>
        <w:tblStyle w:val="15"/>
        <w:tblW w:w="8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9"/>
        <w:gridCol w:w="1700"/>
        <w:gridCol w:w="1697"/>
        <w:gridCol w:w="1699"/>
        <w:gridCol w:w="1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699" w:type="dxa"/>
            <w:tcBorders>
              <w:top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临街情况</w:t>
            </w:r>
          </w:p>
        </w:tc>
        <w:tc>
          <w:tcPr>
            <w:tcW w:w="1700" w:type="dxa"/>
            <w:tcBorders>
              <w:top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一面临街</w:t>
            </w:r>
          </w:p>
        </w:tc>
        <w:tc>
          <w:tcPr>
            <w:tcW w:w="1697" w:type="dxa"/>
            <w:tcBorders>
              <w:top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两面临街</w:t>
            </w:r>
          </w:p>
        </w:tc>
        <w:tc>
          <w:tcPr>
            <w:tcW w:w="1699" w:type="dxa"/>
            <w:tcBorders>
              <w:top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三面临街</w:t>
            </w:r>
          </w:p>
        </w:tc>
        <w:tc>
          <w:tcPr>
            <w:tcW w:w="1700" w:type="dxa"/>
            <w:tcBorders>
              <w:top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三</w:t>
            </w:r>
            <w:r>
              <w:rPr>
                <w:rFonts w:hint="eastAsia" w:ascii="仿宋_GB2312" w:hAnsi="仿宋_GB2312" w:eastAsia="仿宋_GB2312" w:cs="仿宋_GB2312"/>
                <w:color w:val="auto"/>
                <w:sz w:val="24"/>
                <w:szCs w:val="24"/>
                <w:highlight w:val="none"/>
              </w:rPr>
              <w:t>面</w:t>
            </w:r>
            <w:r>
              <w:rPr>
                <w:rFonts w:hint="eastAsia" w:ascii="仿宋_GB2312" w:hAnsi="仿宋_GB2312" w:eastAsia="仿宋_GB2312" w:cs="仿宋_GB2312"/>
                <w:color w:val="auto"/>
                <w:sz w:val="24"/>
                <w:szCs w:val="24"/>
                <w:highlight w:val="none"/>
                <w:lang w:val="en-US" w:eastAsia="zh-CN"/>
              </w:rPr>
              <w:t>以上</w:t>
            </w:r>
            <w:r>
              <w:rPr>
                <w:rFonts w:hint="eastAsia" w:ascii="仿宋_GB2312" w:hAnsi="仿宋_GB2312" w:eastAsia="仿宋_GB2312" w:cs="仿宋_GB2312"/>
                <w:color w:val="auto"/>
                <w:sz w:val="24"/>
                <w:szCs w:val="24"/>
                <w:highlight w:val="none"/>
              </w:rPr>
              <w:t>临街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699" w:type="dxa"/>
            <w:vAlign w:val="center"/>
          </w:tcPr>
          <w:p>
            <w:pPr>
              <w:pStyle w:val="30"/>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700"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w:t>
            </w:r>
          </w:p>
        </w:tc>
        <w:tc>
          <w:tcPr>
            <w:tcW w:w="1697"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lang w:val="en-US" w:eastAsia="zh-CN"/>
              </w:rPr>
              <w:t>3</w:t>
            </w:r>
          </w:p>
        </w:tc>
        <w:tc>
          <w:tcPr>
            <w:tcW w:w="1699"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06</w:t>
            </w:r>
          </w:p>
        </w:tc>
        <w:tc>
          <w:tcPr>
            <w:tcW w:w="1700"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08</w:t>
            </w:r>
          </w:p>
        </w:tc>
      </w:tr>
    </w:tbl>
    <w:p>
      <w:pPr>
        <w:pStyle w:val="28"/>
        <w:keepNext w:val="0"/>
        <w:keepLines w:val="0"/>
        <w:pageBreakBefore w:val="0"/>
        <w:widowControl/>
        <w:numPr>
          <w:ilvl w:val="0"/>
          <w:numId w:val="2"/>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rPr>
      </w:pPr>
      <w:r>
        <w:rPr>
          <w:rFonts w:hint="default" w:ascii="仿宋_GB2312" w:hAnsi="仿宋_GB2312" w:eastAsia="仿宋_GB2312" w:cs="仿宋_GB2312"/>
          <w:b w:val="0"/>
          <w:bCs w:val="0"/>
          <w:sz w:val="32"/>
          <w:szCs w:val="32"/>
          <w:highlight w:val="none"/>
        </w:rPr>
        <w:t>其他个别因素修正系数</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其他个别因素修正系数表</w:t>
      </w:r>
    </w:p>
    <w:tbl>
      <w:tblPr>
        <w:tblStyle w:val="15"/>
        <w:tblW w:w="5000" w:type="pct"/>
        <w:jc w:val="center"/>
        <w:tblLayout w:type="autofit"/>
        <w:tblCellMar>
          <w:top w:w="0" w:type="dxa"/>
          <w:left w:w="108" w:type="dxa"/>
          <w:bottom w:w="0" w:type="dxa"/>
          <w:right w:w="108" w:type="dxa"/>
        </w:tblCellMar>
      </w:tblPr>
      <w:tblGrid>
        <w:gridCol w:w="1383"/>
        <w:gridCol w:w="1425"/>
        <w:gridCol w:w="1425"/>
        <w:gridCol w:w="1425"/>
        <w:gridCol w:w="1425"/>
        <w:gridCol w:w="1439"/>
      </w:tblGrid>
      <w:tr>
        <w:tblPrEx>
          <w:tblCellMar>
            <w:top w:w="0" w:type="dxa"/>
            <w:left w:w="108" w:type="dxa"/>
            <w:bottom w:w="0" w:type="dxa"/>
            <w:right w:w="108" w:type="dxa"/>
          </w:tblCellMar>
        </w:tblPrEx>
        <w:trPr>
          <w:trHeight w:val="170" w:hRule="atLeast"/>
          <w:tblHeader/>
          <w:jc w:val="center"/>
        </w:trPr>
        <w:tc>
          <w:tcPr>
            <w:tcW w:w="811" w:type="pct"/>
            <w:tcBorders>
              <w:top w:val="single" w:color="auto" w:sz="4" w:space="0"/>
              <w:left w:val="single" w:color="auto" w:sz="4" w:space="0"/>
              <w:bottom w:val="single" w:color="auto" w:sz="4" w:space="0"/>
              <w:right w:val="single" w:color="auto" w:sz="4" w:space="0"/>
              <w:tl2br w:val="single" w:color="auto" w:sz="4" w:space="0"/>
            </w:tcBorders>
            <w:vAlign w:val="center"/>
          </w:tcPr>
          <w:p>
            <w:pPr>
              <w:pStyle w:val="32"/>
              <w:spacing w:line="240" w:lineRule="auto"/>
              <w:jc w:val="right"/>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优劣度</w:t>
            </w:r>
          </w:p>
          <w:p>
            <w:pPr>
              <w:pStyle w:val="32"/>
              <w:spacing w:line="240" w:lineRule="auto"/>
              <w:jc w:val="both"/>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因素</w:t>
            </w:r>
          </w:p>
        </w:tc>
        <w:tc>
          <w:tcPr>
            <w:tcW w:w="836"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w:t>
            </w:r>
          </w:p>
        </w:tc>
        <w:tc>
          <w:tcPr>
            <w:tcW w:w="836"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较优</w:t>
            </w:r>
          </w:p>
        </w:tc>
        <w:tc>
          <w:tcPr>
            <w:tcW w:w="836"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一般</w:t>
            </w:r>
          </w:p>
        </w:tc>
        <w:tc>
          <w:tcPr>
            <w:tcW w:w="836"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较劣</w:t>
            </w:r>
          </w:p>
        </w:tc>
        <w:tc>
          <w:tcPr>
            <w:tcW w:w="844"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劣</w:t>
            </w:r>
          </w:p>
        </w:tc>
      </w:tr>
      <w:tr>
        <w:tblPrEx>
          <w:tblCellMar>
            <w:top w:w="0" w:type="dxa"/>
            <w:left w:w="108" w:type="dxa"/>
            <w:bottom w:w="0" w:type="dxa"/>
            <w:right w:w="108" w:type="dxa"/>
          </w:tblCellMar>
        </w:tblPrEx>
        <w:trPr>
          <w:trHeight w:val="170" w:hRule="atLeast"/>
          <w:jc w:val="center"/>
        </w:trPr>
        <w:tc>
          <w:tcPr>
            <w:tcW w:w="811"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宗地面积</w:t>
            </w:r>
          </w:p>
        </w:tc>
        <w:tc>
          <w:tcPr>
            <w:tcW w:w="836"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面积适中，对土地利用极为有利</w:t>
            </w:r>
          </w:p>
        </w:tc>
        <w:tc>
          <w:tcPr>
            <w:tcW w:w="836"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面积对土地利用较为有利</w:t>
            </w:r>
          </w:p>
        </w:tc>
        <w:tc>
          <w:tcPr>
            <w:tcW w:w="836"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面积对土地利用无不良影响</w:t>
            </w:r>
          </w:p>
        </w:tc>
        <w:tc>
          <w:tcPr>
            <w:tcW w:w="836"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面积较小，对土地利用有一定影响</w:t>
            </w:r>
          </w:p>
        </w:tc>
        <w:tc>
          <w:tcPr>
            <w:tcW w:w="844"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面积过小，对土地利用产生严重影响</w:t>
            </w:r>
          </w:p>
        </w:tc>
      </w:tr>
      <w:tr>
        <w:tblPrEx>
          <w:tblCellMar>
            <w:top w:w="0" w:type="dxa"/>
            <w:left w:w="108" w:type="dxa"/>
            <w:bottom w:w="0" w:type="dxa"/>
            <w:right w:w="108" w:type="dxa"/>
          </w:tblCellMar>
        </w:tblPrEx>
        <w:trPr>
          <w:trHeight w:val="170" w:hRule="atLeast"/>
          <w:jc w:val="center"/>
        </w:trPr>
        <w:tc>
          <w:tcPr>
            <w:tcW w:w="811"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0</w:t>
            </w:r>
            <w:r>
              <w:rPr>
                <w:rFonts w:hint="eastAsia" w:ascii="仿宋_GB2312" w:hAnsi="仿宋_GB2312" w:eastAsia="仿宋_GB2312" w:cs="仿宋_GB2312"/>
                <w:sz w:val="24"/>
                <w:highlight w:val="none"/>
                <w:lang w:val="en-US"/>
              </w:rPr>
              <w:t>%</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844"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tblPrEx>
          <w:tblCellMar>
            <w:top w:w="0" w:type="dxa"/>
            <w:left w:w="108" w:type="dxa"/>
            <w:bottom w:w="0" w:type="dxa"/>
            <w:right w:w="108" w:type="dxa"/>
          </w:tblCellMar>
        </w:tblPrEx>
        <w:trPr>
          <w:trHeight w:val="170" w:hRule="atLeast"/>
          <w:jc w:val="center"/>
        </w:trPr>
        <w:tc>
          <w:tcPr>
            <w:tcW w:w="811"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宗地形状</w:t>
            </w:r>
          </w:p>
        </w:tc>
        <w:tc>
          <w:tcPr>
            <w:tcW w:w="836"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形状规则，对土地利用合理</w:t>
            </w:r>
          </w:p>
        </w:tc>
        <w:tc>
          <w:tcPr>
            <w:tcW w:w="836"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形状较规则，土地利用较为合理</w:t>
            </w:r>
          </w:p>
        </w:tc>
        <w:tc>
          <w:tcPr>
            <w:tcW w:w="836"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形状一般，土地利用无不良影响</w:t>
            </w:r>
          </w:p>
        </w:tc>
        <w:tc>
          <w:tcPr>
            <w:tcW w:w="836"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形状不规则，对土地利用不合理</w:t>
            </w:r>
          </w:p>
        </w:tc>
        <w:tc>
          <w:tcPr>
            <w:tcW w:w="844"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形状不规则，对土地利用产生严重影响</w:t>
            </w:r>
          </w:p>
        </w:tc>
      </w:tr>
      <w:tr>
        <w:tblPrEx>
          <w:tblCellMar>
            <w:top w:w="0" w:type="dxa"/>
            <w:left w:w="108" w:type="dxa"/>
            <w:bottom w:w="0" w:type="dxa"/>
            <w:right w:w="108" w:type="dxa"/>
          </w:tblCellMar>
        </w:tblPrEx>
        <w:trPr>
          <w:trHeight w:val="170" w:hRule="atLeast"/>
          <w:jc w:val="center"/>
        </w:trPr>
        <w:tc>
          <w:tcPr>
            <w:tcW w:w="811"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0</w:t>
            </w:r>
            <w:r>
              <w:rPr>
                <w:rFonts w:hint="eastAsia" w:ascii="仿宋_GB2312" w:hAnsi="仿宋_GB2312" w:eastAsia="仿宋_GB2312" w:cs="仿宋_GB2312"/>
                <w:sz w:val="24"/>
                <w:highlight w:val="none"/>
                <w:lang w:val="en-US"/>
              </w:rPr>
              <w:t>%</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844"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tblPrEx>
          <w:tblCellMar>
            <w:top w:w="0" w:type="dxa"/>
            <w:left w:w="108" w:type="dxa"/>
            <w:bottom w:w="0" w:type="dxa"/>
            <w:right w:w="108" w:type="dxa"/>
          </w:tblCellMar>
        </w:tblPrEx>
        <w:trPr>
          <w:trHeight w:val="170" w:hRule="atLeast"/>
          <w:jc w:val="center"/>
        </w:trPr>
        <w:tc>
          <w:tcPr>
            <w:tcW w:w="811"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地形</w:t>
            </w:r>
          </w:p>
        </w:tc>
        <w:tc>
          <w:tcPr>
            <w:tcW w:w="836" w:type="pct"/>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地形平坦，可直接开发利用</w:t>
            </w:r>
          </w:p>
        </w:tc>
        <w:tc>
          <w:tcPr>
            <w:tcW w:w="836" w:type="pct"/>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地形较平坦</w:t>
            </w:r>
          </w:p>
        </w:tc>
        <w:tc>
          <w:tcPr>
            <w:tcW w:w="836" w:type="pct"/>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地形对土地利用无不良影响</w:t>
            </w:r>
          </w:p>
        </w:tc>
        <w:tc>
          <w:tcPr>
            <w:tcW w:w="836" w:type="pct"/>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有一定地形坡度和起伏，对土地利用有一定影响</w:t>
            </w:r>
          </w:p>
        </w:tc>
        <w:tc>
          <w:tcPr>
            <w:tcW w:w="844" w:type="pct"/>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地形起伏、坡度较大，对土地利用产生严重影响</w:t>
            </w:r>
          </w:p>
        </w:tc>
      </w:tr>
      <w:tr>
        <w:tblPrEx>
          <w:tblCellMar>
            <w:top w:w="0" w:type="dxa"/>
            <w:left w:w="108" w:type="dxa"/>
            <w:bottom w:w="0" w:type="dxa"/>
            <w:right w:w="108" w:type="dxa"/>
          </w:tblCellMar>
        </w:tblPrEx>
        <w:trPr>
          <w:trHeight w:val="170" w:hRule="atLeast"/>
          <w:jc w:val="center"/>
        </w:trPr>
        <w:tc>
          <w:tcPr>
            <w:tcW w:w="811"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0</w:t>
            </w:r>
            <w:r>
              <w:rPr>
                <w:rFonts w:hint="eastAsia" w:ascii="仿宋_GB2312" w:hAnsi="仿宋_GB2312" w:eastAsia="仿宋_GB2312" w:cs="仿宋_GB2312"/>
                <w:sz w:val="24"/>
                <w:highlight w:val="none"/>
                <w:lang w:val="en-US"/>
              </w:rPr>
              <w:t>%</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844"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tblPrEx>
          <w:tblCellMar>
            <w:top w:w="0" w:type="dxa"/>
            <w:left w:w="108" w:type="dxa"/>
            <w:bottom w:w="0" w:type="dxa"/>
            <w:right w:w="108" w:type="dxa"/>
          </w:tblCellMar>
        </w:tblPrEx>
        <w:trPr>
          <w:trHeight w:val="170" w:hRule="atLeast"/>
          <w:jc w:val="center"/>
        </w:trPr>
        <w:tc>
          <w:tcPr>
            <w:tcW w:w="811"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地势</w:t>
            </w:r>
          </w:p>
        </w:tc>
        <w:tc>
          <w:tcPr>
            <w:tcW w:w="836" w:type="pct"/>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地势较高，排水通风条件好，出入口设置仍然便利</w:t>
            </w:r>
          </w:p>
        </w:tc>
        <w:tc>
          <w:tcPr>
            <w:tcW w:w="836" w:type="pct"/>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地势一般，通风排水条件一般，不影响出入口设置</w:t>
            </w:r>
          </w:p>
        </w:tc>
        <w:tc>
          <w:tcPr>
            <w:tcW w:w="836" w:type="pct"/>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地势一般，排水通风条件一般</w:t>
            </w:r>
          </w:p>
        </w:tc>
        <w:tc>
          <w:tcPr>
            <w:tcW w:w="836" w:type="pct"/>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地势偏高，对出入通道设置有一定影响</w:t>
            </w:r>
          </w:p>
        </w:tc>
        <w:tc>
          <w:tcPr>
            <w:tcW w:w="844" w:type="pct"/>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地势偏低，不利于通风排水和出入口设置</w:t>
            </w:r>
          </w:p>
        </w:tc>
      </w:tr>
      <w:tr>
        <w:tblPrEx>
          <w:tblCellMar>
            <w:top w:w="0" w:type="dxa"/>
            <w:left w:w="108" w:type="dxa"/>
            <w:bottom w:w="0" w:type="dxa"/>
            <w:right w:w="108" w:type="dxa"/>
          </w:tblCellMar>
        </w:tblPrEx>
        <w:trPr>
          <w:trHeight w:val="170" w:hRule="atLeast"/>
          <w:jc w:val="center"/>
        </w:trPr>
        <w:tc>
          <w:tcPr>
            <w:tcW w:w="811"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0</w:t>
            </w:r>
            <w:r>
              <w:rPr>
                <w:rFonts w:hint="eastAsia" w:ascii="仿宋_GB2312" w:hAnsi="仿宋_GB2312" w:eastAsia="仿宋_GB2312" w:cs="仿宋_GB2312"/>
                <w:sz w:val="24"/>
                <w:highlight w:val="none"/>
                <w:lang w:val="en-US"/>
              </w:rPr>
              <w:t>%</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844"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tblPrEx>
          <w:tblCellMar>
            <w:top w:w="0" w:type="dxa"/>
            <w:left w:w="108" w:type="dxa"/>
            <w:bottom w:w="0" w:type="dxa"/>
            <w:right w:w="108" w:type="dxa"/>
          </w:tblCellMar>
        </w:tblPrEx>
        <w:trPr>
          <w:trHeight w:val="170" w:hRule="atLeast"/>
          <w:jc w:val="center"/>
        </w:trPr>
        <w:tc>
          <w:tcPr>
            <w:tcW w:w="811"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宗地地基承载力</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before="2"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宗地地基承载力好</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宗地地基承载力较好</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宗地地基承载力适宜</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宗地地基承载力较差</w:t>
            </w:r>
          </w:p>
        </w:tc>
        <w:tc>
          <w:tcPr>
            <w:tcW w:w="844"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宗地地基承载力差</w:t>
            </w:r>
          </w:p>
        </w:tc>
      </w:tr>
      <w:tr>
        <w:tblPrEx>
          <w:tblCellMar>
            <w:top w:w="0" w:type="dxa"/>
            <w:left w:w="108" w:type="dxa"/>
            <w:bottom w:w="0" w:type="dxa"/>
            <w:right w:w="108" w:type="dxa"/>
          </w:tblCellMar>
        </w:tblPrEx>
        <w:trPr>
          <w:trHeight w:val="170" w:hRule="atLeast"/>
          <w:jc w:val="center"/>
        </w:trPr>
        <w:tc>
          <w:tcPr>
            <w:tcW w:w="811"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0</w:t>
            </w:r>
            <w:r>
              <w:rPr>
                <w:rFonts w:hint="eastAsia" w:ascii="仿宋_GB2312" w:hAnsi="仿宋_GB2312" w:eastAsia="仿宋_GB2312" w:cs="仿宋_GB2312"/>
                <w:sz w:val="24"/>
                <w:highlight w:val="none"/>
                <w:lang w:val="en-US"/>
              </w:rPr>
              <w:t>%</w:t>
            </w:r>
          </w:p>
        </w:tc>
        <w:tc>
          <w:tcPr>
            <w:tcW w:w="836"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844"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bl>
    <w:p>
      <w:pPr>
        <w:pStyle w:val="28"/>
        <w:keepNext w:val="0"/>
        <w:keepLines w:val="0"/>
        <w:pageBreakBefore w:val="0"/>
        <w:widowControl/>
        <w:numPr>
          <w:ilvl w:val="0"/>
          <w:numId w:val="2"/>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rPr>
      </w:pPr>
      <w:r>
        <w:rPr>
          <w:rFonts w:hint="default" w:ascii="仿宋_GB2312" w:hAnsi="仿宋_GB2312" w:eastAsia="仿宋_GB2312" w:cs="仿宋_GB2312"/>
          <w:b w:val="0"/>
          <w:bCs w:val="0"/>
          <w:sz w:val="32"/>
          <w:szCs w:val="32"/>
          <w:highlight w:val="none"/>
        </w:rPr>
        <w:t>土地剩余使用年限修正系数</w:t>
      </w:r>
    </w:p>
    <w:p>
      <w:pPr>
        <w:autoSpaceDE w:val="0"/>
        <w:autoSpaceDN w:val="0"/>
        <w:spacing w:before="72" w:after="72" w:line="500" w:lineRule="exact"/>
        <w:ind w:firstLine="53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6"/>
          <w:sz w:val="28"/>
          <w:szCs w:val="28"/>
          <w:highlight w:val="none"/>
        </w:rPr>
        <w:t>土地剩余使用年期修正系数的计算公式为：</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position w:val="-36"/>
          <w:highlight w:val="none"/>
        </w:rPr>
      </w:pPr>
      <w:r>
        <w:rPr>
          <w:rFonts w:hint="default" w:ascii="Times New Roman" w:hAnsi="Times New Roman" w:eastAsia="仿宋" w:cs="Times New Roman"/>
          <w:color w:val="auto"/>
          <w:position w:val="-36"/>
          <w:highlight w:val="none"/>
        </w:rPr>
        <w:object>
          <v:shape id="_x0000_i1025" o:spt="75" type="#_x0000_t75" style="height:42pt;width:165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p>
    <w:p>
      <w:pPr>
        <w:bidi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式中：</w:t>
      </w:r>
      <w:r>
        <w:rPr>
          <w:rFonts w:hint="eastAsia" w:ascii="仿宋_GB2312" w:hAnsi="仿宋_GB2312" w:eastAsia="仿宋_GB2312" w:cs="仿宋_GB2312"/>
          <w:color w:val="auto"/>
          <w:position w:val="-4"/>
          <w:sz w:val="24"/>
          <w:szCs w:val="24"/>
          <w:highlight w:val="none"/>
        </w:rPr>
        <w:object>
          <v:shape id="_x0000_i1026" o:spt="75" type="#_x0000_t75" style="height:10pt;width:9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ascii="仿宋_GB2312" w:hAnsi="仿宋_GB2312" w:eastAsia="仿宋_GB2312" w:cs="仿宋_GB2312"/>
          <w:color w:val="auto"/>
          <w:sz w:val="24"/>
          <w:szCs w:val="24"/>
          <w:highlight w:val="none"/>
        </w:rPr>
        <w:t>——土地还原率</w:t>
      </w:r>
      <w:r>
        <w:rPr>
          <w:rFonts w:hint="eastAsia" w:ascii="仿宋_GB2312" w:hAnsi="仿宋_GB2312" w:eastAsia="仿宋_GB2312" w:cs="仿宋_GB2312"/>
          <w:color w:val="auto"/>
          <w:sz w:val="24"/>
          <w:szCs w:val="24"/>
          <w:highlight w:val="none"/>
          <w:lang w:val="en-US" w:eastAsia="zh-CN"/>
        </w:rPr>
        <w:t>7.0%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position w:val="-6"/>
          <w:sz w:val="24"/>
          <w:szCs w:val="24"/>
          <w:highlight w:val="none"/>
        </w:rPr>
        <w:object>
          <v:shape id="_x0000_i1027" o:spt="75" type="#_x0000_t75" style="height:11pt;width:13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r>
        <w:rPr>
          <w:rFonts w:hint="eastAsia" w:ascii="仿宋_GB2312" w:hAnsi="仿宋_GB2312" w:eastAsia="仿宋_GB2312" w:cs="仿宋_GB2312"/>
          <w:color w:val="auto"/>
          <w:sz w:val="24"/>
          <w:szCs w:val="24"/>
          <w:highlight w:val="none"/>
        </w:rPr>
        <w:t>——土地使用权法定最高出让年限</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0年；</w:t>
      </w:r>
    </w:p>
    <w:p>
      <w:pPr>
        <w:bidi w:val="0"/>
        <w:ind w:firstLine="1200" w:firstLineChars="5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position w:val="-6"/>
          <w:sz w:val="24"/>
          <w:szCs w:val="24"/>
          <w:highlight w:val="none"/>
        </w:rPr>
        <w:object>
          <v:shape id="_x0000_i1028" o:spt="75" type="#_x0000_t75" style="height:11pt;width:10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r>
        <w:rPr>
          <w:rFonts w:hint="eastAsia" w:ascii="仿宋_GB2312" w:hAnsi="仿宋_GB2312" w:eastAsia="仿宋_GB2312" w:cs="仿宋_GB2312"/>
          <w:color w:val="auto"/>
          <w:sz w:val="24"/>
          <w:szCs w:val="24"/>
          <w:highlight w:val="none"/>
        </w:rPr>
        <w:t>——土地剩余使用年期；</w:t>
      </w:r>
      <w:r>
        <w:rPr>
          <w:rFonts w:hint="eastAsia" w:ascii="仿宋_GB2312" w:hAnsi="仿宋_GB2312" w:eastAsia="仿宋_GB2312" w:cs="仿宋_GB2312"/>
          <w:color w:val="auto"/>
          <w:position w:val="-4"/>
          <w:sz w:val="24"/>
          <w:szCs w:val="24"/>
          <w:highlight w:val="none"/>
        </w:rPr>
        <w:object>
          <v:shape id="_x0000_i1029" o:spt="75" type="#_x0000_t75" style="height:13pt;width:11pt;" o:ole="t" filled="f" o:preferrelative="t" stroked="f" coordsize="21600,21600">
            <v:path/>
            <v:fill on="f" focussize="0,0"/>
            <v:stroke on="f"/>
            <v:imagedata r:id="rId15" o:title=""/>
            <o:lock v:ext="edit" aspectratio="t"/>
            <w10:wrap type="none"/>
            <w10:anchorlock/>
          </v:shape>
          <o:OLEObject Type="Embed" ProgID="Equation.KSEE3" ShapeID="_x0000_i1029" DrawAspect="Content" ObjectID="_1468075729" r:id="rId14">
            <o:LockedField>false</o:LockedField>
          </o:OLEObject>
        </w:object>
      </w:r>
      <w:r>
        <w:rPr>
          <w:rFonts w:hint="eastAsia" w:ascii="仿宋_GB2312" w:hAnsi="仿宋_GB2312" w:eastAsia="仿宋_GB2312" w:cs="仿宋_GB2312"/>
          <w:color w:val="auto"/>
          <w:sz w:val="24"/>
          <w:szCs w:val="24"/>
          <w:highlight w:val="none"/>
        </w:rPr>
        <w:t>——土地剩余使用年期修正系数</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城区商服用地使用年期修正系数表</w:t>
      </w:r>
    </w:p>
    <w:tbl>
      <w:tblPr>
        <w:tblStyle w:val="15"/>
        <w:tblW w:w="9055" w:type="dxa"/>
        <w:jc w:val="center"/>
        <w:tblLayout w:type="fixed"/>
        <w:tblCellMar>
          <w:top w:w="0" w:type="dxa"/>
          <w:left w:w="108" w:type="dxa"/>
          <w:bottom w:w="0" w:type="dxa"/>
          <w:right w:w="108" w:type="dxa"/>
        </w:tblCellMar>
      </w:tblPr>
      <w:tblGrid>
        <w:gridCol w:w="642"/>
        <w:gridCol w:w="873"/>
        <w:gridCol w:w="995"/>
        <w:gridCol w:w="959"/>
        <w:gridCol w:w="798"/>
        <w:gridCol w:w="798"/>
        <w:gridCol w:w="798"/>
        <w:gridCol w:w="798"/>
        <w:gridCol w:w="798"/>
        <w:gridCol w:w="798"/>
        <w:gridCol w:w="798"/>
      </w:tblGrid>
      <w:tr>
        <w:tblPrEx>
          <w:tblCellMar>
            <w:top w:w="0" w:type="dxa"/>
            <w:left w:w="108" w:type="dxa"/>
            <w:bottom w:w="0" w:type="dxa"/>
            <w:right w:w="108" w:type="dxa"/>
          </w:tblCellMar>
        </w:tblPrEx>
        <w:trPr>
          <w:trHeight w:val="597" w:hRule="atLeast"/>
          <w:jc w:val="center"/>
        </w:trPr>
        <w:tc>
          <w:tcPr>
            <w:tcW w:w="642"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剩余年期</w:t>
            </w:r>
          </w:p>
        </w:tc>
        <w:tc>
          <w:tcPr>
            <w:tcW w:w="873"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995"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959"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798"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c>
          <w:tcPr>
            <w:tcW w:w="798"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p>
        </w:tc>
        <w:tc>
          <w:tcPr>
            <w:tcW w:w="798"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w:t>
            </w:r>
          </w:p>
        </w:tc>
        <w:tc>
          <w:tcPr>
            <w:tcW w:w="798"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w:t>
            </w:r>
          </w:p>
        </w:tc>
        <w:tc>
          <w:tcPr>
            <w:tcW w:w="798"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w:t>
            </w:r>
          </w:p>
        </w:tc>
        <w:tc>
          <w:tcPr>
            <w:tcW w:w="798"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w:t>
            </w:r>
          </w:p>
        </w:tc>
        <w:tc>
          <w:tcPr>
            <w:tcW w:w="798"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w:t>
            </w:r>
          </w:p>
        </w:tc>
      </w:tr>
      <w:tr>
        <w:tblPrEx>
          <w:tblCellMar>
            <w:top w:w="0" w:type="dxa"/>
            <w:left w:w="108" w:type="dxa"/>
            <w:bottom w:w="0" w:type="dxa"/>
            <w:right w:w="108" w:type="dxa"/>
          </w:tblCellMar>
        </w:tblPrEx>
        <w:trPr>
          <w:trHeight w:val="65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修正系数</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0.0701</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0.1356</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0.1968</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0.2541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0.3076</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0.3575</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0.4042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0.4479</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0.4887</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0.5268</w:t>
            </w:r>
          </w:p>
        </w:tc>
      </w:tr>
      <w:tr>
        <w:tblPrEx>
          <w:tblCellMar>
            <w:top w:w="0" w:type="dxa"/>
            <w:left w:w="108" w:type="dxa"/>
            <w:bottom w:w="0" w:type="dxa"/>
            <w:right w:w="108" w:type="dxa"/>
          </w:tblCellMar>
        </w:tblPrEx>
        <w:trPr>
          <w:trHeight w:val="515"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剩余年期</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15</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16</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18</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w:t>
            </w:r>
          </w:p>
        </w:tc>
      </w:tr>
      <w:tr>
        <w:tblPrEx>
          <w:tblCellMar>
            <w:top w:w="0" w:type="dxa"/>
            <w:left w:w="108" w:type="dxa"/>
            <w:bottom w:w="0" w:type="dxa"/>
            <w:right w:w="108" w:type="dxa"/>
          </w:tblCellMar>
        </w:tblPrEx>
        <w:trPr>
          <w:trHeight w:val="624"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修正系数</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0.5625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0.5958</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0.6269</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0.656</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0.6832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0.7086</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0.7323</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0.7545</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0.7753</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0.7946</w:t>
            </w:r>
          </w:p>
        </w:tc>
      </w:tr>
      <w:tr>
        <w:tblPrEx>
          <w:tblCellMar>
            <w:top w:w="0" w:type="dxa"/>
            <w:left w:w="108" w:type="dxa"/>
            <w:bottom w:w="0" w:type="dxa"/>
            <w:right w:w="108" w:type="dxa"/>
          </w:tblCellMar>
        </w:tblPrEx>
        <w:trPr>
          <w:trHeight w:val="624"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剩余年期</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21</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22</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23</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24</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25</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26</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27</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28</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29</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30</w:t>
            </w:r>
          </w:p>
        </w:tc>
      </w:tr>
      <w:tr>
        <w:tblPrEx>
          <w:tblCellMar>
            <w:top w:w="0" w:type="dxa"/>
            <w:left w:w="108" w:type="dxa"/>
            <w:bottom w:w="0" w:type="dxa"/>
            <w:right w:w="108" w:type="dxa"/>
          </w:tblCellMar>
        </w:tblPrEx>
        <w:trPr>
          <w:trHeight w:val="61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修正系数</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0.8128</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0.8297</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0.8455</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0.8603</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0.8741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0.887</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0.8991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0.9104</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0.9209</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0.9308</w:t>
            </w:r>
          </w:p>
        </w:tc>
      </w:tr>
      <w:tr>
        <w:tblPrEx>
          <w:tblCellMar>
            <w:top w:w="0" w:type="dxa"/>
            <w:left w:w="108" w:type="dxa"/>
            <w:bottom w:w="0" w:type="dxa"/>
            <w:right w:w="108" w:type="dxa"/>
          </w:tblCellMar>
        </w:tblPrEx>
        <w:trPr>
          <w:trHeight w:val="61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剩余年期</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31</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32</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33</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34</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35</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36</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37</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38</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39</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40</w:t>
            </w:r>
          </w:p>
        </w:tc>
      </w:tr>
      <w:tr>
        <w:tblPrEx>
          <w:tblCellMar>
            <w:top w:w="0" w:type="dxa"/>
            <w:left w:w="108" w:type="dxa"/>
            <w:bottom w:w="0" w:type="dxa"/>
            <w:right w:w="108" w:type="dxa"/>
          </w:tblCellMar>
        </w:tblPrEx>
        <w:trPr>
          <w:trHeight w:val="644"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2"/>
              <w:autoSpaceDE/>
              <w:autoSpaceDN/>
              <w:adjustRightInd w:val="0"/>
              <w:snapToGrid w:val="0"/>
              <w:spacing w:line="240" w:lineRule="auto"/>
              <w:jc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修正系数</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0.94</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0.9486</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0.9567</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0.9642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0.9712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0.9778</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0.9839</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0.9896</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0.995</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2"/>
              <w:autoSpaceDE/>
              <w:autoSpaceDN/>
              <w:adjustRightInd w:val="0"/>
              <w:snapToGrid w:val="0"/>
              <w:spacing w:line="240" w:lineRule="auto"/>
              <w:jc w:val="center"/>
              <w:rPr>
                <w:rFonts w:ascii="仿宋_GB2312" w:hAnsi="仿宋_GB2312" w:eastAsia="仿宋_GB2312" w:cs="仿宋_GB2312"/>
                <w:color w:val="auto"/>
                <w:w w:val="90"/>
                <w:szCs w:val="21"/>
                <w:highlight w:val="none"/>
              </w:rPr>
            </w:pPr>
            <w:r>
              <w:rPr>
                <w:rFonts w:hint="eastAsia" w:ascii="仿宋_GB2312" w:hAnsi="仿宋_GB2312" w:eastAsia="仿宋_GB2312" w:cs="仿宋_GB2312"/>
                <w:color w:val="auto"/>
                <w:w w:val="90"/>
                <w:szCs w:val="21"/>
                <w:highlight w:val="none"/>
              </w:rPr>
              <w:t>1</w:t>
            </w:r>
          </w:p>
        </w:tc>
      </w:tr>
    </w:tbl>
    <w:p>
      <w:pPr>
        <w:pStyle w:val="28"/>
        <w:keepNext w:val="0"/>
        <w:keepLines w:val="0"/>
        <w:pageBreakBefore w:val="0"/>
        <w:widowControl/>
        <w:numPr>
          <w:ilvl w:val="0"/>
          <w:numId w:val="2"/>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rPr>
      </w:pPr>
      <w:r>
        <w:rPr>
          <w:rFonts w:hint="default" w:ascii="仿宋_GB2312" w:hAnsi="仿宋_GB2312" w:eastAsia="仿宋_GB2312" w:cs="仿宋_GB2312"/>
          <w:b w:val="0"/>
          <w:bCs w:val="0"/>
          <w:sz w:val="32"/>
          <w:szCs w:val="32"/>
          <w:highlight w:val="none"/>
        </w:rPr>
        <w:t>土地开发程度修正系数</w:t>
      </w:r>
    </w:p>
    <w:p>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21"/>
          <w:highlight w:val="none"/>
        </w:rPr>
      </w:pPr>
      <w:r>
        <w:rPr>
          <w:rFonts w:hint="eastAsia" w:ascii="仿宋_GB2312" w:hAnsi="仿宋_GB2312" w:eastAsia="仿宋_GB2312" w:cs="仿宋_GB2312"/>
          <w:sz w:val="32"/>
          <w:szCs w:val="21"/>
          <w:highlight w:val="none"/>
          <w:lang w:eastAsia="zh-CN"/>
        </w:rPr>
        <w:t>韶关市曲江区集体商服用地基准地价为“三通一平”（宗地红线外通路、通水、通电，宗地红线内场地平整）土地开发程度下的价格。当运用集体建设用地基准地价法进行宗地评估时，若宗地未达到或超过基准地价设定开发程度时，应酌情扣除或增加相应开发费用</w:t>
      </w:r>
      <w:r>
        <w:rPr>
          <w:rFonts w:hint="eastAsia" w:ascii="仿宋_GB2312" w:hAnsi="仿宋_GB2312" w:eastAsia="仿宋_GB2312" w:cs="仿宋_GB2312"/>
          <w:sz w:val="32"/>
          <w:szCs w:val="21"/>
          <w:highlight w:val="none"/>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土地开发程度修正值范围表（土地面积）</w:t>
      </w:r>
    </w:p>
    <w:tbl>
      <w:tblPr>
        <w:tblStyle w:val="15"/>
        <w:tblW w:w="501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382"/>
        <w:gridCol w:w="851"/>
        <w:gridCol w:w="923"/>
        <w:gridCol w:w="863"/>
        <w:gridCol w:w="838"/>
        <w:gridCol w:w="838"/>
        <w:gridCol w:w="833"/>
        <w:gridCol w:w="853"/>
        <w:gridCol w:w="9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blHeader/>
          <w:jc w:val="center"/>
        </w:trPr>
        <w:tc>
          <w:tcPr>
            <w:tcW w:w="828" w:type="pct"/>
            <w:vMerge w:val="restart"/>
            <w:tcBorders>
              <w:top w:val="single" w:color="auto"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土地开发程度</w:t>
            </w:r>
          </w:p>
        </w:tc>
        <w:tc>
          <w:tcPr>
            <w:tcW w:w="3594" w:type="pct"/>
            <w:gridSpan w:val="7"/>
            <w:tcBorders>
              <w:top w:val="single" w:color="auto"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开发项目及成本（元/平方米）</w:t>
            </w:r>
          </w:p>
        </w:tc>
        <w:tc>
          <w:tcPr>
            <w:tcW w:w="576" w:type="pct"/>
            <w:tcBorders>
              <w:top w:val="single" w:color="auto" w:sz="4" w:space="0"/>
              <w:left w:val="single" w:color="000000" w:sz="4" w:space="0"/>
              <w:bottom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blHeader/>
          <w:jc w:val="center"/>
        </w:trPr>
        <w:tc>
          <w:tcPr>
            <w:tcW w:w="828" w:type="pct"/>
            <w:vMerge w:val="continue"/>
            <w:tcBorders>
              <w:top w:val="nil"/>
              <w:bottom w:val="single" w:color="000000" w:sz="4" w:space="0"/>
              <w:right w:val="single" w:color="000000" w:sz="4" w:space="0"/>
            </w:tcBorders>
            <w:vAlign w:val="center"/>
          </w:tcPr>
          <w:p>
            <w:pPr>
              <w:spacing w:line="240" w:lineRule="auto"/>
              <w:ind w:firstLine="0" w:firstLineChars="0"/>
              <w:jc w:val="center"/>
              <w:rPr>
                <w:rFonts w:ascii="仿宋_GB2312" w:hAnsi="仿宋_GB2312" w:eastAsia="仿宋_GB2312" w:cs="仿宋_GB2312"/>
                <w:sz w:val="24"/>
                <w:highlight w:val="none"/>
              </w:rPr>
            </w:pPr>
          </w:p>
        </w:tc>
        <w:tc>
          <w:tcPr>
            <w:tcW w:w="510" w:type="pct"/>
            <w:tcBorders>
              <w:top w:val="single" w:color="000000"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通上水</w:t>
            </w:r>
          </w:p>
        </w:tc>
        <w:tc>
          <w:tcPr>
            <w:tcW w:w="553" w:type="pct"/>
            <w:tcBorders>
              <w:top w:val="single" w:color="000000"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通下水</w:t>
            </w:r>
          </w:p>
        </w:tc>
        <w:tc>
          <w:tcPr>
            <w:tcW w:w="517" w:type="pct"/>
            <w:tcBorders>
              <w:top w:val="single" w:color="000000"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通电</w:t>
            </w:r>
          </w:p>
        </w:tc>
        <w:tc>
          <w:tcPr>
            <w:tcW w:w="502" w:type="pct"/>
            <w:tcBorders>
              <w:top w:val="single" w:color="000000"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通讯</w:t>
            </w:r>
          </w:p>
        </w:tc>
        <w:tc>
          <w:tcPr>
            <w:tcW w:w="502" w:type="pct"/>
            <w:tcBorders>
              <w:top w:val="single" w:color="000000"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通路</w:t>
            </w:r>
          </w:p>
        </w:tc>
        <w:tc>
          <w:tcPr>
            <w:tcW w:w="499" w:type="pct"/>
            <w:tcBorders>
              <w:top w:val="single" w:color="000000"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通气</w:t>
            </w:r>
          </w:p>
        </w:tc>
        <w:tc>
          <w:tcPr>
            <w:tcW w:w="510" w:type="pct"/>
            <w:tcBorders>
              <w:top w:val="single" w:color="000000"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平整</w:t>
            </w:r>
          </w:p>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土地</w:t>
            </w:r>
          </w:p>
        </w:tc>
        <w:tc>
          <w:tcPr>
            <w:tcW w:w="576" w:type="pct"/>
            <w:tcBorders>
              <w:top w:val="single" w:color="000000" w:sz="4" w:space="0"/>
              <w:left w:val="single" w:color="000000" w:sz="4" w:space="0"/>
              <w:bottom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元/平方米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jc w:val="center"/>
        </w:trPr>
        <w:tc>
          <w:tcPr>
            <w:tcW w:w="828" w:type="pct"/>
            <w:tcBorders>
              <w:top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数据</w:t>
            </w:r>
          </w:p>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统计范围</w:t>
            </w:r>
          </w:p>
        </w:tc>
        <w:tc>
          <w:tcPr>
            <w:tcW w:w="926"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lang w:val="en-US"/>
              </w:rPr>
            </w:pPr>
            <w:r>
              <w:rPr>
                <w:rFonts w:ascii="Times New Roman" w:hAnsi="Times New Roman" w:eastAsia="仿宋" w:cs="Times New Roman"/>
                <w:sz w:val="24"/>
                <w:szCs w:val="24"/>
                <w:highlight w:val="none"/>
              </w:rPr>
              <w:t>10～</w:t>
            </w:r>
            <w:r>
              <w:rPr>
                <w:rFonts w:hint="eastAsia" w:ascii="Times New Roman" w:hAnsi="Times New Roman" w:eastAsia="仿宋" w:cs="Times New Roman"/>
                <w:sz w:val="24"/>
                <w:szCs w:val="24"/>
                <w:highlight w:val="none"/>
                <w:lang w:val="en-US"/>
              </w:rPr>
              <w:t>25</w:t>
            </w:r>
          </w:p>
        </w:tc>
        <w:tc>
          <w:tcPr>
            <w:tcW w:w="1003"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ascii="Times New Roman" w:hAnsi="Times New Roman" w:eastAsia="仿宋" w:cs="Times New Roman"/>
                <w:sz w:val="24"/>
                <w:szCs w:val="24"/>
                <w:highlight w:val="none"/>
                <w:lang w:val="en-US"/>
              </w:rPr>
              <w:t>10</w:t>
            </w:r>
            <w:r>
              <w:rPr>
                <w:rFonts w:ascii="Times New Roman" w:hAnsi="Times New Roman" w:eastAsia="仿宋" w:cs="Times New Roman"/>
                <w:sz w:val="24"/>
                <w:szCs w:val="24"/>
                <w:highlight w:val="none"/>
              </w:rPr>
              <w:t>～</w:t>
            </w:r>
            <w:r>
              <w:rPr>
                <w:rFonts w:ascii="Times New Roman" w:hAnsi="Times New Roman" w:eastAsia="仿宋" w:cs="Times New Roman"/>
                <w:sz w:val="24"/>
                <w:szCs w:val="24"/>
                <w:highlight w:val="none"/>
                <w:lang w:val="en-US"/>
              </w:rPr>
              <w:t>25</w:t>
            </w:r>
          </w:p>
        </w:tc>
        <w:tc>
          <w:tcPr>
            <w:tcW w:w="938"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hint="eastAsia" w:ascii="Times New Roman" w:hAnsi="Times New Roman" w:eastAsia="仿宋" w:cs="Times New Roman"/>
                <w:sz w:val="24"/>
                <w:szCs w:val="24"/>
                <w:highlight w:val="none"/>
                <w:lang w:val="en-US"/>
              </w:rPr>
              <w:t>1</w:t>
            </w:r>
            <w:r>
              <w:rPr>
                <w:rFonts w:hint="eastAsia" w:ascii="Times New Roman" w:hAnsi="Times New Roman" w:eastAsia="仿宋" w:cs="Times New Roman"/>
                <w:sz w:val="24"/>
                <w:szCs w:val="24"/>
                <w:highlight w:val="none"/>
                <w:lang w:val="en-US" w:eastAsia="zh-CN"/>
              </w:rPr>
              <w:t>0</w:t>
            </w:r>
            <w:r>
              <w:rPr>
                <w:rFonts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rPr>
              <w:t>3</w:t>
            </w:r>
            <w:r>
              <w:rPr>
                <w:rFonts w:ascii="Times New Roman" w:hAnsi="Times New Roman" w:eastAsia="仿宋" w:cs="Times New Roman"/>
                <w:sz w:val="24"/>
                <w:szCs w:val="24"/>
                <w:highlight w:val="none"/>
              </w:rPr>
              <w:t>5</w:t>
            </w: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ascii="Times New Roman" w:hAnsi="Times New Roman" w:eastAsia="仿宋" w:cs="Times New Roman"/>
                <w:sz w:val="24"/>
                <w:szCs w:val="24"/>
                <w:highlight w:val="none"/>
                <w:lang w:val="en-US"/>
              </w:rPr>
              <w:t>5</w:t>
            </w:r>
            <w:r>
              <w:rPr>
                <w:rFonts w:ascii="Times New Roman" w:hAnsi="Times New Roman" w:eastAsia="仿宋" w:cs="Times New Roman"/>
                <w:sz w:val="24"/>
                <w:szCs w:val="24"/>
                <w:highlight w:val="none"/>
              </w:rPr>
              <w:t>～</w:t>
            </w:r>
            <w:r>
              <w:rPr>
                <w:rFonts w:ascii="Times New Roman" w:hAnsi="Times New Roman" w:eastAsia="仿宋" w:cs="Times New Roman"/>
                <w:sz w:val="24"/>
                <w:szCs w:val="24"/>
                <w:highlight w:val="none"/>
                <w:lang w:val="en-US"/>
              </w:rPr>
              <w:t>20</w:t>
            </w: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hint="eastAsia" w:ascii="Times New Roman" w:hAnsi="Times New Roman" w:eastAsia="仿宋" w:cs="Times New Roman"/>
                <w:sz w:val="24"/>
                <w:szCs w:val="24"/>
                <w:highlight w:val="none"/>
                <w:lang w:val="en-US" w:eastAsia="zh-CN"/>
              </w:rPr>
              <w:t>10</w:t>
            </w:r>
            <w:r>
              <w:rPr>
                <w:rFonts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4</w:t>
            </w:r>
            <w:r>
              <w:rPr>
                <w:rFonts w:ascii="Times New Roman" w:hAnsi="Times New Roman" w:eastAsia="仿宋" w:cs="Times New Roman"/>
                <w:sz w:val="24"/>
                <w:szCs w:val="24"/>
                <w:highlight w:val="none"/>
                <w:lang w:val="en-US"/>
              </w:rPr>
              <w:t>0</w:t>
            </w:r>
          </w:p>
        </w:tc>
        <w:tc>
          <w:tcPr>
            <w:tcW w:w="905"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ascii="Times New Roman" w:hAnsi="Times New Roman" w:eastAsia="仿宋" w:cs="Times New Roman"/>
                <w:sz w:val="24"/>
                <w:szCs w:val="24"/>
                <w:highlight w:val="none"/>
                <w:lang w:val="en-US"/>
              </w:rPr>
              <w:t>10</w:t>
            </w:r>
            <w:r>
              <w:rPr>
                <w:rFonts w:ascii="Times New Roman" w:hAnsi="Times New Roman" w:eastAsia="仿宋" w:cs="Times New Roman"/>
                <w:sz w:val="24"/>
                <w:szCs w:val="24"/>
                <w:highlight w:val="none"/>
              </w:rPr>
              <w:t>～</w:t>
            </w:r>
            <w:r>
              <w:rPr>
                <w:rFonts w:ascii="Times New Roman" w:hAnsi="Times New Roman" w:eastAsia="仿宋" w:cs="Times New Roman"/>
                <w:sz w:val="24"/>
                <w:szCs w:val="24"/>
                <w:highlight w:val="none"/>
                <w:lang w:val="en-US"/>
              </w:rPr>
              <w:t>25</w:t>
            </w:r>
          </w:p>
        </w:tc>
        <w:tc>
          <w:tcPr>
            <w:tcW w:w="926"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hint="eastAsia" w:ascii="Times New Roman" w:hAnsi="Times New Roman" w:eastAsia="仿宋" w:cs="Times New Roman"/>
                <w:sz w:val="24"/>
                <w:szCs w:val="24"/>
                <w:highlight w:val="none"/>
                <w:lang w:val="en-US" w:eastAsia="zh-CN"/>
              </w:rPr>
              <w:t>15</w:t>
            </w:r>
            <w:r>
              <w:rPr>
                <w:rFonts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4</w:t>
            </w:r>
            <w:r>
              <w:rPr>
                <w:rFonts w:ascii="Times New Roman" w:hAnsi="Times New Roman" w:eastAsia="仿宋" w:cs="Times New Roman"/>
                <w:sz w:val="24"/>
                <w:szCs w:val="24"/>
                <w:highlight w:val="none"/>
                <w:lang w:val="en-US"/>
              </w:rPr>
              <w:t>0</w:t>
            </w:r>
          </w:p>
        </w:tc>
        <w:tc>
          <w:tcPr>
            <w:tcW w:w="104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hint="eastAsia" w:ascii="Times New Roman" w:hAnsi="Times New Roman" w:eastAsia="仿宋" w:cs="Times New Roman"/>
                <w:sz w:val="24"/>
                <w:szCs w:val="24"/>
                <w:highlight w:val="none"/>
                <w:lang w:val="en-US" w:eastAsia="zh-CN"/>
              </w:rPr>
              <w:t>7</w:t>
            </w:r>
            <w:r>
              <w:rPr>
                <w:rFonts w:ascii="Times New Roman" w:hAnsi="Times New Roman" w:eastAsia="仿宋" w:cs="Times New Roman"/>
                <w:sz w:val="24"/>
                <w:szCs w:val="24"/>
                <w:highlight w:val="none"/>
                <w:lang w:val="en-US"/>
              </w:rPr>
              <w:t>0</w:t>
            </w:r>
            <w:r>
              <w:rPr>
                <w:rFonts w:ascii="Times New Roman" w:hAnsi="Times New Roman" w:eastAsia="仿宋" w:cs="Times New Roman"/>
                <w:sz w:val="24"/>
                <w:szCs w:val="24"/>
                <w:highlight w:val="none"/>
              </w:rPr>
              <w:t>～2</w:t>
            </w:r>
            <w:r>
              <w:rPr>
                <w:rFonts w:hint="eastAsia" w:ascii="Times New Roman" w:hAnsi="Times New Roman" w:eastAsia="仿宋" w:cs="Times New Roman"/>
                <w:sz w:val="24"/>
                <w:szCs w:val="24"/>
                <w:highlight w:val="none"/>
                <w:lang w:val="en-US" w:eastAsia="zh-CN"/>
              </w:rPr>
              <w:t>1</w:t>
            </w:r>
            <w:r>
              <w:rPr>
                <w:rFonts w:ascii="Times New Roman" w:hAnsi="Times New Roman" w:eastAsia="仿宋" w:cs="Times New Roman"/>
                <w:sz w:val="24"/>
                <w:szCs w:val="24"/>
                <w:highlight w:val="none"/>
                <w:lang w:val="en-US"/>
              </w:rPr>
              <w:t>0</w:t>
            </w:r>
          </w:p>
        </w:tc>
      </w:tr>
    </w:tbl>
    <w:p>
      <w:pPr>
        <w:adjustRightInd w:val="0"/>
        <w:snapToGrid w:val="0"/>
        <w:spacing w:before="72" w:after="72" w:line="240" w:lineRule="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lang w:val="en-US" w:eastAsia="zh-CN"/>
        </w:rPr>
        <w:t>注：</w:t>
      </w:r>
      <w:r>
        <w:rPr>
          <w:rFonts w:hint="eastAsia" w:ascii="仿宋_GB2312" w:hAnsi="仿宋_GB2312" w:eastAsia="仿宋_GB2312" w:cs="仿宋_GB2312"/>
          <w:color w:val="auto"/>
          <w:sz w:val="24"/>
          <w:szCs w:val="22"/>
          <w:highlight w:val="none"/>
        </w:rPr>
        <w:t>该项修正为地面价修正系数，若对楼面价进行修正，则需先转换为楼面价修正系数，即开发程度楼面价修正系数=开发程度地面价修正系数/容积率</w:t>
      </w:r>
    </w:p>
    <w:p>
      <w:pPr>
        <w:pStyle w:val="3"/>
        <w:keepNext w:val="0"/>
        <w:keepLines w:val="0"/>
        <w:pageBreakBefore w:val="0"/>
        <w:widowControl w:val="0"/>
        <w:tabs>
          <w:tab w:val="left" w:pos="4680"/>
        </w:tabs>
        <w:kinsoku/>
        <w:wordWrap/>
        <w:overflowPunct/>
        <w:topLinePunct w:val="0"/>
        <w:autoSpaceDE/>
        <w:autoSpaceDN/>
        <w:bidi w:val="0"/>
        <w:spacing w:before="0" w:after="0" w:line="560" w:lineRule="exact"/>
        <w:ind w:firstLine="640" w:firstLineChars="200"/>
        <w:textAlignment w:val="auto"/>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iCs/>
          <w:color w:val="000000"/>
          <w:sz w:val="32"/>
          <w:szCs w:val="32"/>
          <w:highlight w:val="none"/>
          <w:lang w:eastAsia="zh-CN"/>
        </w:rPr>
        <w:t>（</w:t>
      </w:r>
      <w:r>
        <w:rPr>
          <w:rFonts w:hint="eastAsia" w:ascii="楷体_GB2312" w:hAnsi="楷体_GB2312" w:eastAsia="楷体_GB2312" w:cs="楷体_GB2312"/>
          <w:b w:val="0"/>
          <w:bCs w:val="0"/>
          <w:iCs/>
          <w:color w:val="000000"/>
          <w:sz w:val="32"/>
          <w:szCs w:val="32"/>
          <w:highlight w:val="none"/>
          <w:lang w:val="en-US" w:eastAsia="zh-CN"/>
        </w:rPr>
        <w:t>二</w:t>
      </w:r>
      <w:r>
        <w:rPr>
          <w:rFonts w:hint="eastAsia" w:ascii="楷体_GB2312" w:hAnsi="楷体_GB2312" w:eastAsia="楷体_GB2312" w:cs="楷体_GB2312"/>
          <w:b w:val="0"/>
          <w:bCs w:val="0"/>
          <w:iCs/>
          <w:color w:val="000000"/>
          <w:sz w:val="32"/>
          <w:szCs w:val="32"/>
          <w:highlight w:val="none"/>
          <w:lang w:eastAsia="zh-CN"/>
        </w:rPr>
        <w:t>）</w:t>
      </w:r>
      <w:r>
        <w:rPr>
          <w:rFonts w:hint="eastAsia" w:ascii="楷体_GB2312" w:hAnsi="楷体_GB2312" w:eastAsia="楷体_GB2312" w:cs="楷体_GB2312"/>
          <w:b w:val="0"/>
          <w:bCs w:val="0"/>
          <w:iCs/>
          <w:color w:val="000000"/>
          <w:sz w:val="32"/>
          <w:szCs w:val="32"/>
          <w:highlight w:val="none"/>
          <w:lang w:val="en-US" w:eastAsia="zh-CN"/>
        </w:rPr>
        <w:t>宅基地</w:t>
      </w:r>
      <w:r>
        <w:rPr>
          <w:rFonts w:hint="eastAsia" w:ascii="楷体_GB2312" w:hAnsi="楷体_GB2312" w:eastAsia="楷体_GB2312" w:cs="楷体_GB2312"/>
          <w:b w:val="0"/>
          <w:bCs w:val="0"/>
          <w:highlight w:val="none"/>
        </w:rPr>
        <w:t>修正体系</w:t>
      </w:r>
    </w:p>
    <w:p>
      <w:pPr>
        <w:pStyle w:val="28"/>
        <w:keepNext w:val="0"/>
        <w:keepLines w:val="0"/>
        <w:pageBreakBefore w:val="0"/>
        <w:widowControl/>
        <w:numPr>
          <w:ilvl w:val="0"/>
          <w:numId w:val="3"/>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bookmarkStart w:id="36" w:name="_Toc435108581"/>
      <w:bookmarkStart w:id="37" w:name="_Toc435192436"/>
      <w:bookmarkStart w:id="38" w:name="_Toc435109082"/>
      <w:bookmarkStart w:id="39" w:name="_Toc435179418"/>
      <w:bookmarkStart w:id="40" w:name="_Toc435438835"/>
      <w:r>
        <w:rPr>
          <w:rFonts w:hint="default" w:ascii="仿宋_GB2312" w:hAnsi="仿宋_GB2312" w:eastAsia="仿宋_GB2312" w:cs="仿宋_GB2312"/>
          <w:b w:val="0"/>
          <w:bCs w:val="0"/>
          <w:sz w:val="32"/>
          <w:szCs w:val="32"/>
          <w:highlight w:val="none"/>
          <w:lang w:val="en-US" w:eastAsia="zh-CN"/>
        </w:rPr>
        <w:t>区域因素修正</w:t>
      </w:r>
      <w:bookmarkEnd w:id="36"/>
      <w:bookmarkEnd w:id="37"/>
      <w:bookmarkEnd w:id="38"/>
      <w:bookmarkEnd w:id="39"/>
      <w:bookmarkEnd w:id="40"/>
      <w:r>
        <w:rPr>
          <w:rFonts w:hint="default" w:ascii="仿宋_GB2312" w:hAnsi="仿宋_GB2312" w:eastAsia="仿宋_GB2312" w:cs="仿宋_GB2312"/>
          <w:b w:val="0"/>
          <w:bCs w:val="0"/>
          <w:sz w:val="32"/>
          <w:szCs w:val="32"/>
          <w:highlight w:val="none"/>
          <w:lang w:val="en-US" w:eastAsia="zh-CN"/>
        </w:rPr>
        <w:t>系数</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宅基地</w:t>
      </w:r>
      <w:r>
        <w:rPr>
          <w:rFonts w:hint="default" w:ascii="仿宋_GB2312" w:hAnsi="仿宋_GB2312" w:eastAsia="仿宋_GB2312" w:cs="仿宋_GB2312"/>
          <w:b w:val="0"/>
          <w:bCs w:val="0"/>
          <w:color w:val="auto"/>
          <w:kern w:val="28"/>
          <w:sz w:val="32"/>
          <w:szCs w:val="32"/>
          <w:highlight w:val="none"/>
          <w:lang w:val="en-US" w:eastAsia="zh-CN"/>
        </w:rPr>
        <w:t>区域因素修正系数表（一级）</w:t>
      </w:r>
    </w:p>
    <w:tbl>
      <w:tblPr>
        <w:tblStyle w:val="15"/>
        <w:tblW w:w="5319" w:type="pct"/>
        <w:jc w:val="center"/>
        <w:tblLayout w:type="fixed"/>
        <w:tblCellMar>
          <w:top w:w="0" w:type="dxa"/>
          <w:left w:w="108" w:type="dxa"/>
          <w:bottom w:w="0" w:type="dxa"/>
          <w:right w:w="108" w:type="dxa"/>
        </w:tblCellMar>
      </w:tblPr>
      <w:tblGrid>
        <w:gridCol w:w="1241"/>
        <w:gridCol w:w="1566"/>
        <w:gridCol w:w="1565"/>
        <w:gridCol w:w="1565"/>
        <w:gridCol w:w="1565"/>
        <w:gridCol w:w="1565"/>
      </w:tblGrid>
      <w:tr>
        <w:tblPrEx>
          <w:tblCellMar>
            <w:top w:w="0" w:type="dxa"/>
            <w:left w:w="108" w:type="dxa"/>
            <w:bottom w:w="0" w:type="dxa"/>
            <w:right w:w="108" w:type="dxa"/>
          </w:tblCellMar>
        </w:tblPrEx>
        <w:trPr>
          <w:trHeight w:val="340" w:hRule="atLeast"/>
          <w:tblHeader/>
          <w:jc w:val="center"/>
        </w:trPr>
        <w:tc>
          <w:tcPr>
            <w:tcW w:w="684" w:type="pc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pStyle w:val="32"/>
              <w:spacing w:line="240" w:lineRule="auto"/>
              <w:jc w:val="right"/>
              <w:rPr>
                <w:rFonts w:ascii="仿宋_GB2312" w:hAnsi="仿宋_GB2312" w:eastAsia="仿宋_GB2312" w:cs="仿宋_GB2312"/>
                <w:b/>
                <w:color w:val="auto"/>
                <w:sz w:val="24"/>
                <w:szCs w:val="24"/>
                <w:highlight w:val="none"/>
              </w:rPr>
            </w:pPr>
            <w:bookmarkStart w:id="41" w:name="_Hlk55305972"/>
            <w:r>
              <w:rPr>
                <w:rFonts w:hint="eastAsia" w:ascii="仿宋_GB2312" w:hAnsi="仿宋_GB2312" w:eastAsia="仿宋_GB2312" w:cs="仿宋_GB2312"/>
                <w:b/>
                <w:color w:val="auto"/>
                <w:sz w:val="24"/>
                <w:szCs w:val="24"/>
                <w:highlight w:val="none"/>
              </w:rPr>
              <w:t>优劣度</w:t>
            </w:r>
          </w:p>
          <w:p>
            <w:pPr>
              <w:pStyle w:val="32"/>
              <w:spacing w:line="24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因素</w:t>
            </w:r>
          </w:p>
        </w:tc>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w:t>
            </w:r>
          </w:p>
        </w:tc>
        <w:tc>
          <w:tcPr>
            <w:tcW w:w="863" w:type="pct"/>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较优</w:t>
            </w:r>
          </w:p>
        </w:tc>
        <w:tc>
          <w:tcPr>
            <w:tcW w:w="863" w:type="pct"/>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一般</w:t>
            </w:r>
          </w:p>
        </w:tc>
        <w:tc>
          <w:tcPr>
            <w:tcW w:w="863" w:type="pct"/>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较劣</w:t>
            </w:r>
          </w:p>
        </w:tc>
        <w:tc>
          <w:tcPr>
            <w:tcW w:w="863" w:type="pct"/>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劣</w:t>
            </w:r>
          </w:p>
        </w:tc>
      </w:tr>
      <w:tr>
        <w:tblPrEx>
          <w:tblCellMar>
            <w:top w:w="0" w:type="dxa"/>
            <w:left w:w="108" w:type="dxa"/>
            <w:bottom w:w="0" w:type="dxa"/>
            <w:right w:w="108" w:type="dxa"/>
          </w:tblCellMar>
        </w:tblPrEx>
        <w:trPr>
          <w:trHeight w:val="340" w:hRule="atLeast"/>
          <w:jc w:val="center"/>
        </w:trPr>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基础设施状况</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市政供水，供电保证率高，排水状况好，周围学校、银行、邮电局（所）、医院等生活设施配套完备</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市政供水，供电保证率较高，排水状况较好，周围学校、银行、邮电局（所）、医院等生活设施配套较完备</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市政供水，供电保证率一般，排水状况一般，周围学校、银行、邮电局（所）、医院等生活设施配套一般</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市政供水，供电保证率较低，排水状况较差，离学校、银行、邮电局（所）、医院等生活设施有一定的距离</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市政供水，供电保证率低，排水状况差，离学校、银行、邮电局（所）、医院较远，生活设施配套不完备</w:t>
            </w:r>
          </w:p>
        </w:tc>
      </w:tr>
      <w:tr>
        <w:tblPrEx>
          <w:tblCellMar>
            <w:top w:w="0" w:type="dxa"/>
            <w:left w:w="108" w:type="dxa"/>
            <w:bottom w:w="0" w:type="dxa"/>
            <w:right w:w="108" w:type="dxa"/>
          </w:tblCellMar>
        </w:tblPrEx>
        <w:trPr>
          <w:trHeight w:val="340" w:hRule="atLeast"/>
          <w:jc w:val="center"/>
        </w:trPr>
        <w:tc>
          <w:tcPr>
            <w:tcW w:w="684" w:type="pct"/>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6.03%</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3.01%</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-2.87%</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-5.73%</w:t>
            </w:r>
          </w:p>
        </w:tc>
      </w:tr>
      <w:tr>
        <w:tblPrEx>
          <w:tblCellMar>
            <w:top w:w="0" w:type="dxa"/>
            <w:left w:w="108" w:type="dxa"/>
            <w:bottom w:w="0" w:type="dxa"/>
            <w:right w:w="108" w:type="dxa"/>
          </w:tblCellMar>
        </w:tblPrEx>
        <w:trPr>
          <w:trHeight w:val="340" w:hRule="atLeast"/>
          <w:jc w:val="center"/>
        </w:trPr>
        <w:tc>
          <w:tcPr>
            <w:tcW w:w="684" w:type="pct"/>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交通条件</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道路通达度高，距汽车站、货运站、高速公路出入口近，对外交通便利</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道路通达度较高，距汽车站、货运站、高速公路出入口较近，对外交通较便利</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道路通达度一般，距汽车站、货运站、高速公路出入口一般，对外交通一般</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道路通达度较低，距汽车站、货运站、高速公路出入口较远，对外交通较差</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道路通达度低，距汽车站、货运站、高速公路出入口远，对外交通差</w:t>
            </w:r>
          </w:p>
        </w:tc>
      </w:tr>
      <w:tr>
        <w:tblPrEx>
          <w:tblCellMar>
            <w:top w:w="0" w:type="dxa"/>
            <w:left w:w="108" w:type="dxa"/>
            <w:bottom w:w="0" w:type="dxa"/>
            <w:right w:w="108" w:type="dxa"/>
          </w:tblCellMar>
        </w:tblPrEx>
        <w:trPr>
          <w:trHeight w:val="340" w:hRule="atLeast"/>
          <w:jc w:val="center"/>
        </w:trPr>
        <w:tc>
          <w:tcPr>
            <w:tcW w:w="684" w:type="pct"/>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4.84%</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2.42%</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-2.30%</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-4.61%</w:t>
            </w:r>
          </w:p>
        </w:tc>
      </w:tr>
      <w:tr>
        <w:tblPrEx>
          <w:tblCellMar>
            <w:top w:w="0" w:type="dxa"/>
            <w:left w:w="108" w:type="dxa"/>
            <w:bottom w:w="0" w:type="dxa"/>
            <w:right w:w="108" w:type="dxa"/>
          </w:tblCellMar>
        </w:tblPrEx>
        <w:trPr>
          <w:trHeight w:val="340" w:hRule="atLeast"/>
          <w:jc w:val="center"/>
        </w:trPr>
        <w:tc>
          <w:tcPr>
            <w:tcW w:w="684" w:type="pct"/>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环境条件</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周围绿化程度高、景观好，低噪音、环境优美、无水污染</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周围绿化程度较高、景观较好，噪音较低、基本无水污染</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周围有一定的绿化、景观一般，有轻微的噪音污染、水污染</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周围绿化程度较低、景观较差、噪音污染较大，水污染较严重</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周围绿化程度低或没绿化、景观差，噪音大，水污染严重</w:t>
            </w:r>
          </w:p>
        </w:tc>
      </w:tr>
      <w:tr>
        <w:tblPrEx>
          <w:tblCellMar>
            <w:top w:w="0" w:type="dxa"/>
            <w:left w:w="108" w:type="dxa"/>
            <w:bottom w:w="0" w:type="dxa"/>
            <w:right w:w="108" w:type="dxa"/>
          </w:tblCellMar>
        </w:tblPrEx>
        <w:trPr>
          <w:trHeight w:val="340" w:hRule="atLeast"/>
          <w:jc w:val="center"/>
        </w:trPr>
        <w:tc>
          <w:tcPr>
            <w:tcW w:w="684" w:type="pct"/>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3.28%</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1.64%</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-1.56%</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-3.12%</w:t>
            </w:r>
          </w:p>
        </w:tc>
      </w:tr>
      <w:tr>
        <w:tblPrEx>
          <w:tblCellMar>
            <w:top w:w="0" w:type="dxa"/>
            <w:left w:w="108" w:type="dxa"/>
            <w:bottom w:w="0" w:type="dxa"/>
            <w:right w:w="108" w:type="dxa"/>
          </w:tblCellMar>
        </w:tblPrEx>
        <w:trPr>
          <w:trHeight w:val="340" w:hRule="atLeast"/>
          <w:jc w:val="center"/>
        </w:trPr>
        <w:tc>
          <w:tcPr>
            <w:tcW w:w="684" w:type="pct"/>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繁华程度</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距区级商服中心近、在农贸市场范围内，人流畅旺</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距区级商服中心较近、离集贸市场较近，人流较畅旺</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距区级商服中心有一定距离，与集贸市场距离一般、人流量一般</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距区级商服中心较远，所在地区商业气氛平淡，人流较少</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距区级商服中心远，独立、小型、零星商业用地</w:t>
            </w:r>
          </w:p>
        </w:tc>
      </w:tr>
      <w:tr>
        <w:tblPrEx>
          <w:tblCellMar>
            <w:top w:w="0" w:type="dxa"/>
            <w:left w:w="108" w:type="dxa"/>
            <w:bottom w:w="0" w:type="dxa"/>
            <w:right w:w="108" w:type="dxa"/>
          </w:tblCellMar>
        </w:tblPrEx>
        <w:trPr>
          <w:trHeight w:val="340" w:hRule="atLeast"/>
          <w:jc w:val="center"/>
        </w:trPr>
        <w:tc>
          <w:tcPr>
            <w:tcW w:w="684" w:type="pct"/>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3.11%</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1.56%</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-1.48%</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-2.96%</w:t>
            </w:r>
          </w:p>
        </w:tc>
      </w:tr>
      <w:tr>
        <w:tblPrEx>
          <w:tblCellMar>
            <w:top w:w="0" w:type="dxa"/>
            <w:left w:w="108" w:type="dxa"/>
            <w:bottom w:w="0" w:type="dxa"/>
            <w:right w:w="108" w:type="dxa"/>
          </w:tblCellMar>
        </w:tblPrEx>
        <w:trPr>
          <w:trHeight w:val="340" w:hRule="atLeast"/>
          <w:jc w:val="center"/>
        </w:trPr>
        <w:tc>
          <w:tcPr>
            <w:tcW w:w="684" w:type="pct"/>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社会经济状况</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区域人均收入、人口密度、经济产值高</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区域人均收入、人口密度、经济产值较高</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区域人均收入、人口密度、经济产值一般</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区域人均收入、人口密度、经济产值较低</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区域人均收入、人口密度、经济产值低</w:t>
            </w:r>
          </w:p>
        </w:tc>
      </w:tr>
      <w:tr>
        <w:tblPrEx>
          <w:tblCellMar>
            <w:top w:w="0" w:type="dxa"/>
            <w:left w:w="108" w:type="dxa"/>
            <w:bottom w:w="0" w:type="dxa"/>
            <w:right w:w="108" w:type="dxa"/>
          </w:tblCellMar>
        </w:tblPrEx>
        <w:trPr>
          <w:trHeight w:val="340" w:hRule="atLeast"/>
          <w:jc w:val="center"/>
        </w:trPr>
        <w:tc>
          <w:tcPr>
            <w:tcW w:w="684" w:type="pct"/>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2.55%</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1.28%</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-1.21%</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-2.43%</w:t>
            </w:r>
          </w:p>
        </w:tc>
      </w:tr>
      <w:tr>
        <w:tblPrEx>
          <w:tblCellMar>
            <w:top w:w="0" w:type="dxa"/>
            <w:left w:w="108" w:type="dxa"/>
            <w:bottom w:w="0" w:type="dxa"/>
            <w:right w:w="108" w:type="dxa"/>
          </w:tblCellMar>
        </w:tblPrEx>
        <w:trPr>
          <w:trHeight w:val="340" w:hRule="atLeast"/>
          <w:jc w:val="center"/>
        </w:trPr>
        <w:tc>
          <w:tcPr>
            <w:tcW w:w="684" w:type="pct"/>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用地潜力</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规划前景好</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规划前景较好</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规划前景一般</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规划前景较差</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规划前景差</w:t>
            </w:r>
          </w:p>
        </w:tc>
      </w:tr>
      <w:tr>
        <w:tblPrEx>
          <w:tblCellMar>
            <w:top w:w="0" w:type="dxa"/>
            <w:left w:w="108" w:type="dxa"/>
            <w:bottom w:w="0" w:type="dxa"/>
            <w:right w:w="108" w:type="dxa"/>
          </w:tblCellMar>
        </w:tblPrEx>
        <w:trPr>
          <w:trHeight w:val="340" w:hRule="atLeast"/>
          <w:jc w:val="center"/>
        </w:trPr>
        <w:tc>
          <w:tcPr>
            <w:tcW w:w="684" w:type="pct"/>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1.89%</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0.94%</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-0.90%</w:t>
            </w:r>
          </w:p>
        </w:tc>
        <w:tc>
          <w:tcPr>
            <w:tcW w:w="863" w:type="pct"/>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-1.79%</w:t>
            </w:r>
          </w:p>
        </w:tc>
      </w:tr>
      <w:bookmarkEnd w:id="41"/>
    </w:tbl>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jc w:val="both"/>
        <w:textAlignment w:val="auto"/>
        <w:rPr>
          <w:rFonts w:hint="default" w:ascii="Times New Roman" w:hAnsi="Times New Roman" w:cs="Times New Roman"/>
          <w:highlight w:val="none"/>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住宅用地区域因素修正系数表（二级）</w:t>
      </w:r>
    </w:p>
    <w:tbl>
      <w:tblPr>
        <w:tblStyle w:val="15"/>
        <w:tblW w:w="9073" w:type="dxa"/>
        <w:jc w:val="center"/>
        <w:tblLayout w:type="autofit"/>
        <w:tblCellMar>
          <w:top w:w="0" w:type="dxa"/>
          <w:left w:w="108" w:type="dxa"/>
          <w:bottom w:w="0" w:type="dxa"/>
          <w:right w:w="108" w:type="dxa"/>
        </w:tblCellMar>
      </w:tblPr>
      <w:tblGrid>
        <w:gridCol w:w="1245"/>
        <w:gridCol w:w="1565"/>
        <w:gridCol w:w="1565"/>
        <w:gridCol w:w="1565"/>
        <w:gridCol w:w="1565"/>
        <w:gridCol w:w="1568"/>
      </w:tblGrid>
      <w:tr>
        <w:tblPrEx>
          <w:tblCellMar>
            <w:top w:w="0" w:type="dxa"/>
            <w:left w:w="108" w:type="dxa"/>
            <w:bottom w:w="0" w:type="dxa"/>
            <w:right w:w="108" w:type="dxa"/>
          </w:tblCellMar>
        </w:tblPrEx>
        <w:trPr>
          <w:trHeight w:val="340" w:hRule="atLeast"/>
          <w:tblHeader/>
          <w:jc w:val="center"/>
        </w:trPr>
        <w:tc>
          <w:tcPr>
            <w:tcW w:w="1245"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pStyle w:val="32"/>
              <w:spacing w:line="240" w:lineRule="auto"/>
              <w:jc w:val="right"/>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优劣度</w:t>
            </w:r>
          </w:p>
          <w:p>
            <w:pPr>
              <w:pStyle w:val="32"/>
              <w:spacing w:line="24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因素</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w:t>
            </w:r>
          </w:p>
        </w:tc>
        <w:tc>
          <w:tcPr>
            <w:tcW w:w="1565"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较优</w:t>
            </w:r>
          </w:p>
        </w:tc>
        <w:tc>
          <w:tcPr>
            <w:tcW w:w="1565"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一般</w:t>
            </w:r>
          </w:p>
        </w:tc>
        <w:tc>
          <w:tcPr>
            <w:tcW w:w="1565"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较劣</w:t>
            </w:r>
          </w:p>
        </w:tc>
        <w:tc>
          <w:tcPr>
            <w:tcW w:w="1568"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劣</w:t>
            </w:r>
          </w:p>
        </w:tc>
      </w:tr>
      <w:tr>
        <w:tblPrEx>
          <w:tblCellMar>
            <w:top w:w="0" w:type="dxa"/>
            <w:left w:w="108" w:type="dxa"/>
            <w:bottom w:w="0" w:type="dxa"/>
            <w:right w:w="108" w:type="dxa"/>
          </w:tblCellMar>
        </w:tblPrEx>
        <w:trPr>
          <w:trHeight w:val="340" w:hRule="atLeast"/>
          <w:jc w:val="center"/>
        </w:trPr>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基础设施状况</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市政供水，供电保证率高，排水状况好，周围学校、银行、邮电局（所）、医院等生活设施配套完备</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市政供水，供电保证率较高，排水状况较好，周围学校、银行、邮电局（所）、医院等生活设施配套较完备</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市政供水，供电保证率一般，排水状况一般，周围学校、银行、邮电局（所）、医院等生活设施配套一般</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市政供水，供电保证率较低，排水状况较差，离学校、银行、邮电局（所）、医院等生活设施有一定的距离</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市政供水，供电保证率低，排水状况差，离学校、银行、邮电局（所）、医院较远，生活设施配套不完备</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4.90%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2.45%</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-2.66%</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-5.31%</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交通条件</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道路通达度高，距汽车站、货运站、高速公路出入口近，对外交通便利</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道路通达度较高，距汽车站、货运站、高速公路出入口较近，对外交通较便利</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道路通达度一般，距汽车站、货运站、高速公路出入口一般，对外交通一般</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道路通达度较低，距汽车站、货运站、高速公路出入口较远，对外交通较差</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道路通达度低，距汽车站、货运站、高速公路出入口远，对外交通差</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3.94%</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1.97%</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-2.13%</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-4.27%</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环境条件</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周围绿化程度高、景观好，低噪音、环境优美、无水污染</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周围绿化程度较高、景观较好，噪音较低、基本无水污染</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周围有一定的绿化、景观一般，有轻微的噪音污染、水污染</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周围绿化程度较低、景观较差、噪音污染较大，水污染较严重</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周围绿化程度低或没绿化、景观差，噪音大，水污染严重</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2.66%</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1.33%</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-1.44%</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-2.89%</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繁华程度</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距区级商服中心近、在农贸市场范围内，人流畅旺</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距区级商服中心较近、离集贸市场较近，人流较畅旺</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距区级商服中心有一定距离，与集贸市场距离一般、人流量一般</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距区级商服中心较远，所在地区商业气氛平淡，人流较少</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距区级商服中心远，独立、小型、零星的商业用地</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2.53%</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1.27%</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-1.37%</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-2.74%</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社会经济状况</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区域人均收入、人口密度、经济产值高</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区域人均收入、人口密度、经济产值较高</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区域人均收入、人口密度、经济产值一般</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区域人均收入、人口密度、经济产值较低</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区域人均收入、人口密度、经济产值低</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2.08%</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1.04%</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-1.12%</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-2.25%</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用地潜力</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规划前景好</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规划前景较好</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规划前景一般</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规划前景较差</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规划前景差</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1.53%</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0.77%</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-0.83%</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-1.66%</w:t>
            </w:r>
          </w:p>
        </w:tc>
      </w:tr>
    </w:tbl>
    <w:p>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住宅用地区域因素修正系数表（三级）</w:t>
      </w:r>
    </w:p>
    <w:tbl>
      <w:tblPr>
        <w:tblStyle w:val="15"/>
        <w:tblW w:w="9073" w:type="dxa"/>
        <w:jc w:val="center"/>
        <w:tblLayout w:type="autofit"/>
        <w:tblCellMar>
          <w:top w:w="0" w:type="dxa"/>
          <w:left w:w="108" w:type="dxa"/>
          <w:bottom w:w="0" w:type="dxa"/>
          <w:right w:w="108" w:type="dxa"/>
        </w:tblCellMar>
      </w:tblPr>
      <w:tblGrid>
        <w:gridCol w:w="1245"/>
        <w:gridCol w:w="1565"/>
        <w:gridCol w:w="1565"/>
        <w:gridCol w:w="1565"/>
        <w:gridCol w:w="1565"/>
        <w:gridCol w:w="1568"/>
      </w:tblGrid>
      <w:tr>
        <w:tblPrEx>
          <w:tblCellMar>
            <w:top w:w="0" w:type="dxa"/>
            <w:left w:w="108" w:type="dxa"/>
            <w:bottom w:w="0" w:type="dxa"/>
            <w:right w:w="108" w:type="dxa"/>
          </w:tblCellMar>
        </w:tblPrEx>
        <w:trPr>
          <w:trHeight w:val="340" w:hRule="atLeast"/>
          <w:tblHeader/>
          <w:jc w:val="center"/>
        </w:trPr>
        <w:tc>
          <w:tcPr>
            <w:tcW w:w="1245"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pStyle w:val="32"/>
              <w:spacing w:line="240" w:lineRule="auto"/>
              <w:jc w:val="right"/>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优劣度</w:t>
            </w:r>
          </w:p>
          <w:p>
            <w:pPr>
              <w:pStyle w:val="32"/>
              <w:spacing w:line="24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因素</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w:t>
            </w:r>
          </w:p>
        </w:tc>
        <w:tc>
          <w:tcPr>
            <w:tcW w:w="1565"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较优</w:t>
            </w:r>
          </w:p>
        </w:tc>
        <w:tc>
          <w:tcPr>
            <w:tcW w:w="1565"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一般</w:t>
            </w:r>
          </w:p>
        </w:tc>
        <w:tc>
          <w:tcPr>
            <w:tcW w:w="1565"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较劣</w:t>
            </w:r>
          </w:p>
        </w:tc>
        <w:tc>
          <w:tcPr>
            <w:tcW w:w="1568"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劣</w:t>
            </w:r>
          </w:p>
        </w:tc>
      </w:tr>
      <w:tr>
        <w:tblPrEx>
          <w:tblCellMar>
            <w:top w:w="0" w:type="dxa"/>
            <w:left w:w="108" w:type="dxa"/>
            <w:bottom w:w="0" w:type="dxa"/>
            <w:right w:w="108" w:type="dxa"/>
          </w:tblCellMar>
        </w:tblPrEx>
        <w:trPr>
          <w:trHeight w:val="340" w:hRule="atLeast"/>
          <w:jc w:val="center"/>
        </w:trPr>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基础设施状况</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市政供水，供电保证率高，排水状况好，周围学校、银行、邮电局（所）、医院等生活设施配套完备</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市政供水，供电保证率较高，排水状况较好，周围学校、银行、邮电局（所）、医院等生活设施配套较完备</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市政供水，供电保证率一般，排水状况一般，周围学校、银行、邮电局（所）、医院等生活设施配套一般</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市政供水，供电保证率较低，排水状况较差，离学校、银行、邮电局（所）、医院等生活设施有一定的距离</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市政供水，供电保证率低，排水状况差，离学校、银行、邮电局（所）、医院较远，生活设施配套不完备</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4.90%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2.45%</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-2.51%</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-5.01%</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交通条件</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道路通达度高，距汽车站、货运站、高速公路出入口近，对外交通便利</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道路通达度较高，距汽车站、货运站、高速公路出入口较近，对外交通较便利</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道路通达度一般，距汽车站、货运站、高速公路出入口一般，对外交通一般</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道路通达度较低，距汽车站、货运站、高速公路出入口较远，对外交通较差</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道路通达度低，距汽车站、货运站、高速公路出入口远，对外交通差</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3.94%</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1.97%</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-2.01%</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-4.03%</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环境条件</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周围绿化程度高、景观好，低噪音、环境优美、无水污染</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周围绿化程度较高、景观较好，噪音较低、基本无水污染</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周围有一定的绿化、景观一般，有轻微的噪音污染、水污染</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周围绿化程度较低、景观较差、噪音污染较大，水污染较严重</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周围绿化程度低或没绿化、景观差，噪音大，水污染严重</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2.66%</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1.33%</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-1.36%</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-2.72%</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繁华程度</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距镇级商服中心近、在农贸市场范围内，人流畅旺</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距镇级商服中心较近、离集贸市场较近，人流较畅旺</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距镇级商服中心有一定距离，与集贸市场距离一般、人流量一般</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距镇级商服中心较远，所在地区商业气氛平淡，人流较少</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距镇级商服中心远，独立、小型、零星的商业用地</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2.53%</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1.27%</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-1.29%</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-2.59%</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社会经济状况</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区域人均收入、人口密度、经济产值高</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区域人均收入、人口密度、经济产值较高</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区域人均收入、人口密度、经济产值一般</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区域人均收入、人口密度、经济产值较低</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区域人均收入、人口密度、经济产值低</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2.08%</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1.04%</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-1.06%</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-2.12%</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用地潜力</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规划前景好</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规划前景较好</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规划前景一般</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规划前景较差</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规划前景差</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1.53%</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0.77%</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-0.78%</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-1.57%</w:t>
            </w:r>
          </w:p>
        </w:tc>
      </w:tr>
    </w:tbl>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住宅用地区域因素修正系数表（四级）</w:t>
      </w:r>
    </w:p>
    <w:tbl>
      <w:tblPr>
        <w:tblStyle w:val="15"/>
        <w:tblW w:w="9073" w:type="dxa"/>
        <w:jc w:val="center"/>
        <w:tblLayout w:type="autofit"/>
        <w:tblCellMar>
          <w:top w:w="0" w:type="dxa"/>
          <w:left w:w="108" w:type="dxa"/>
          <w:bottom w:w="0" w:type="dxa"/>
          <w:right w:w="108" w:type="dxa"/>
        </w:tblCellMar>
      </w:tblPr>
      <w:tblGrid>
        <w:gridCol w:w="1245"/>
        <w:gridCol w:w="1565"/>
        <w:gridCol w:w="1565"/>
        <w:gridCol w:w="1565"/>
        <w:gridCol w:w="1565"/>
        <w:gridCol w:w="1568"/>
      </w:tblGrid>
      <w:tr>
        <w:tblPrEx>
          <w:tblCellMar>
            <w:top w:w="0" w:type="dxa"/>
            <w:left w:w="108" w:type="dxa"/>
            <w:bottom w:w="0" w:type="dxa"/>
            <w:right w:w="108" w:type="dxa"/>
          </w:tblCellMar>
        </w:tblPrEx>
        <w:trPr>
          <w:trHeight w:val="340" w:hRule="atLeast"/>
          <w:tblHeader/>
          <w:jc w:val="center"/>
        </w:trPr>
        <w:tc>
          <w:tcPr>
            <w:tcW w:w="1245"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pStyle w:val="32"/>
              <w:spacing w:line="240" w:lineRule="auto"/>
              <w:jc w:val="right"/>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优劣度</w:t>
            </w:r>
          </w:p>
          <w:p>
            <w:pPr>
              <w:pStyle w:val="32"/>
              <w:spacing w:line="24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因素</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w:t>
            </w:r>
          </w:p>
        </w:tc>
        <w:tc>
          <w:tcPr>
            <w:tcW w:w="1565"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较优</w:t>
            </w:r>
          </w:p>
        </w:tc>
        <w:tc>
          <w:tcPr>
            <w:tcW w:w="1565"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一般</w:t>
            </w:r>
          </w:p>
        </w:tc>
        <w:tc>
          <w:tcPr>
            <w:tcW w:w="1565"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较劣</w:t>
            </w:r>
          </w:p>
        </w:tc>
        <w:tc>
          <w:tcPr>
            <w:tcW w:w="1568"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劣</w:t>
            </w:r>
          </w:p>
        </w:tc>
      </w:tr>
      <w:tr>
        <w:tblPrEx>
          <w:tblCellMar>
            <w:top w:w="0" w:type="dxa"/>
            <w:left w:w="108" w:type="dxa"/>
            <w:bottom w:w="0" w:type="dxa"/>
            <w:right w:w="108" w:type="dxa"/>
          </w:tblCellMar>
        </w:tblPrEx>
        <w:trPr>
          <w:trHeight w:val="340" w:hRule="atLeast"/>
          <w:jc w:val="center"/>
        </w:trPr>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基础设施状况</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市政供水，供电保证率高，排水状况好，周围学校、银行、邮电局（所）、医院等生活设施配套完备</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市政供水，供电保证率较高，排水状况较好，周围学校、银行、邮电局（所）、医院等生活设施配套较完备</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市政供水，供电保证率一般，排水状况一般，周围学校、银行、邮电局（所）、医院等生活设施配套一般</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市政供水，供电保证率较低，排水状况较差，离学校、银行、邮电局（所）、医院等生活设施有一定的距离</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市政供水，供电保证率低，排水状况差，离学校、银行、邮电局（所）、医院较远，生活设施配套不完备</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4.48%</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2.24%</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-2.32%</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-4.63%</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交通条件</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道路通达度高，距汽车站、货运站、高速公路出入口近，对外交通便利</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道路通达度较高，距汽车站、货运站、高速公路出入口较近，对外交通较便利</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道路通达度一般，距汽车站、货运站、高速公路出入口一般，对外交通一般</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道路通达度较低，距汽车站、货运站、高速公路出入口较远，对外交通较差</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道路通达度低，距汽车站、货运站、高速公路出入口远，对外交通差</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3.60%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1.80%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-1.86%</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-3.72%</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环境条件</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周围绿化程度高、景观好，低噪音、环境优美、无水污染</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周围绿化程度较高、景观较好，噪音较低、基本无水污染</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周围有一定的绿化、景观一般，有轻微的噪音污染、水污染</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周围绿化程度较低、景观较差、噪音污染较大，水污染较严重</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周围绿化程度低或没绿化、景观差，噪音大，水污染严重</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2.43%</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1.22%</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-1.26%</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-2.52%</w:t>
            </w:r>
          </w:p>
        </w:tc>
      </w:tr>
      <w:tr>
        <w:tblPrEx>
          <w:tblCellMar>
            <w:top w:w="0" w:type="dxa"/>
            <w:left w:w="108" w:type="dxa"/>
            <w:bottom w:w="0" w:type="dxa"/>
            <w:right w:w="108" w:type="dxa"/>
          </w:tblCellMar>
        </w:tblPrEx>
        <w:trPr>
          <w:trHeight w:val="324"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繁华程度</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距镇级商服中心近、在农贸市场范围内，人流畅旺</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距镇级商服中心较近、离集贸市场较近，人流较畅旺</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距镇级商服中心有一定距离，与集贸市场距离一般、人流量一般</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距镇级商服中心较远，所在地区商业气氛平淡，人流较少</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距镇级商服中心远，独立、小型、零星的商业用地</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2.31%</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1.16%</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-1.20%</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-2.39%</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社会经济状况</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区域人均收入、人口密度、经济产值高</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区域人均收入、人口密度、经济产值较高</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区域人均收入、人口密度、经济产值一般</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区域人均收入、人口密度、经济产值较低</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区域人均收入、人口密度、经济产值低</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1.89%</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0.95%</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-0.98%</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-1.96%</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用地潜力</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规划前景好</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规划前景较好</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规划前景一般</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规划前景较差</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规划前景差</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1.40%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0.70%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-0.72%</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-1.45%</w:t>
            </w:r>
          </w:p>
        </w:tc>
      </w:tr>
    </w:tbl>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住宅用地区域因素修正系数表（五级）</w:t>
      </w:r>
    </w:p>
    <w:tbl>
      <w:tblPr>
        <w:tblStyle w:val="15"/>
        <w:tblW w:w="9073" w:type="dxa"/>
        <w:jc w:val="center"/>
        <w:tblLayout w:type="autofit"/>
        <w:tblCellMar>
          <w:top w:w="0" w:type="dxa"/>
          <w:left w:w="108" w:type="dxa"/>
          <w:bottom w:w="0" w:type="dxa"/>
          <w:right w:w="108" w:type="dxa"/>
        </w:tblCellMar>
      </w:tblPr>
      <w:tblGrid>
        <w:gridCol w:w="1245"/>
        <w:gridCol w:w="1565"/>
        <w:gridCol w:w="1565"/>
        <w:gridCol w:w="1565"/>
        <w:gridCol w:w="1565"/>
        <w:gridCol w:w="1568"/>
      </w:tblGrid>
      <w:tr>
        <w:tblPrEx>
          <w:tblCellMar>
            <w:top w:w="0" w:type="dxa"/>
            <w:left w:w="108" w:type="dxa"/>
            <w:bottom w:w="0" w:type="dxa"/>
            <w:right w:w="108" w:type="dxa"/>
          </w:tblCellMar>
        </w:tblPrEx>
        <w:trPr>
          <w:trHeight w:val="340" w:hRule="atLeast"/>
          <w:tblHeader/>
          <w:jc w:val="center"/>
        </w:trPr>
        <w:tc>
          <w:tcPr>
            <w:tcW w:w="1245"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pStyle w:val="32"/>
              <w:spacing w:line="240" w:lineRule="auto"/>
              <w:jc w:val="right"/>
              <w:rPr>
                <w:rFonts w:ascii="仿宋_GB2312" w:hAnsi="仿宋_GB2312" w:eastAsia="仿宋_GB2312" w:cs="仿宋_GB2312"/>
                <w:b/>
                <w:color w:val="auto"/>
                <w:sz w:val="24"/>
                <w:szCs w:val="24"/>
                <w:highlight w:val="none"/>
              </w:rPr>
            </w:pPr>
            <w:bookmarkStart w:id="42" w:name="_Toc435108584"/>
            <w:bookmarkStart w:id="43" w:name="_Toc435109085"/>
            <w:bookmarkStart w:id="44" w:name="_Toc435179421"/>
            <w:bookmarkStart w:id="45" w:name="_Toc435438837"/>
            <w:bookmarkStart w:id="46" w:name="_Toc435192439"/>
            <w:r>
              <w:rPr>
                <w:rFonts w:hint="eastAsia" w:ascii="仿宋_GB2312" w:hAnsi="仿宋_GB2312" w:eastAsia="仿宋_GB2312" w:cs="仿宋_GB2312"/>
                <w:b/>
                <w:color w:val="auto"/>
                <w:sz w:val="24"/>
                <w:szCs w:val="24"/>
                <w:highlight w:val="none"/>
              </w:rPr>
              <w:t>优劣度</w:t>
            </w:r>
          </w:p>
          <w:p>
            <w:pPr>
              <w:pStyle w:val="32"/>
              <w:spacing w:line="24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因素</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w:t>
            </w:r>
          </w:p>
        </w:tc>
        <w:tc>
          <w:tcPr>
            <w:tcW w:w="1565"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较优</w:t>
            </w:r>
          </w:p>
        </w:tc>
        <w:tc>
          <w:tcPr>
            <w:tcW w:w="1565"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一般</w:t>
            </w:r>
          </w:p>
        </w:tc>
        <w:tc>
          <w:tcPr>
            <w:tcW w:w="1565"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较劣</w:t>
            </w:r>
          </w:p>
        </w:tc>
        <w:tc>
          <w:tcPr>
            <w:tcW w:w="1568"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劣</w:t>
            </w:r>
          </w:p>
        </w:tc>
      </w:tr>
      <w:tr>
        <w:tblPrEx>
          <w:tblCellMar>
            <w:top w:w="0" w:type="dxa"/>
            <w:left w:w="108" w:type="dxa"/>
            <w:bottom w:w="0" w:type="dxa"/>
            <w:right w:w="108" w:type="dxa"/>
          </w:tblCellMar>
        </w:tblPrEx>
        <w:trPr>
          <w:trHeight w:val="340" w:hRule="atLeast"/>
          <w:jc w:val="center"/>
        </w:trPr>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基础设施状况</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市政供水，供电保证率高，排水状况好，周围学校、银行、邮电局（所）、医院等生活设施配套完备</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市政供水，供电保证率较高，排水状况较好，周围学校、银行、邮电局（所）、医院等生活设施配套较完备</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市政供水，供电保证率一般，排水状况一般，周围学校、银行、邮电局（所）、医院等生活设施配套一般</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市政供水，供电保证率较低，排水状况较差，离学校、银行、邮电局（所）、医院等生活设施有一定的距离</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市政供水，供电保证率低，排水状况差，离学校、银行、邮电局（所）、医院较远，生活设施配套不完备</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4.35%</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2.18%</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-1.99%</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-3.98%</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交通条件</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道路通达度高，距汽车站、货运站、高速公路出入口近，对外交通便利</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道路通达度较高，距汽车站、货运站、高速公路出入口较近，对外交通较便利</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道路通达度一般，距汽车站、货运站、高速公路出入口一般，对外交通一般</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道路通达度较低，距汽车站、货运站、高速公路出入口较远，对外交通较差</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道路通达度低，距汽车站、货运站、高速公路出入口远，对外交通差</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3.50%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1.75%</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-1.60%</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-3.20%</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环境条件</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周围绿化程度高、景观好，低噪音、环境优美、无水污染</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周围绿化程度较高、景观较好，噪音较低、基本无水污染</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周围有一定的绿化、景观一般，有轻微的噪音污染、水污染</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周围绿化程度较低、景观较差、噪音污染较大，水污染较严重</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周围绿化程度低或没绿化、景观差，噪音大，水污染严重</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2.37%</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1.18%</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-1.08%</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-2.16%</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繁华程度</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距镇或村小卖铺近</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距镇或村小卖铺较近</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距镇或村小卖铺有一定距离</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距镇或村小卖铺较远</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距镇或村小卖铺远</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2.25%</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1.12%</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-1.03%</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-2.06%</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社会经济状况</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区域人均收入、人口密度、经济产值高</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区域人均收入、人口密度、经济产值较高</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区域人均收入、人口密度、经济产值一般</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区域人均收入、人口密度、经济产值较低</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区域人均收入、人口密度、经济产值低</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1.84%</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0.92%</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-0.84%</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-1.69%</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用地潜力</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规划前景好</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规划前景较好</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规划前景一般</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规划前景较差</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规划前景差</w:t>
            </w:r>
          </w:p>
        </w:tc>
      </w:tr>
      <w:tr>
        <w:tblPrEx>
          <w:tblCellMar>
            <w:top w:w="0" w:type="dxa"/>
            <w:left w:w="108" w:type="dxa"/>
            <w:bottom w:w="0" w:type="dxa"/>
            <w:right w:w="108" w:type="dxa"/>
          </w:tblCellMar>
        </w:tblPrEx>
        <w:trPr>
          <w:trHeight w:val="340" w:hRule="atLeast"/>
          <w:jc w:val="center"/>
        </w:trPr>
        <w:tc>
          <w:tcPr>
            <w:tcW w:w="1245" w:type="dxa"/>
            <w:tcBorders>
              <w:top w:val="nil"/>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1.36%</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0.68%</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65"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-0.62%</w:t>
            </w:r>
          </w:p>
        </w:tc>
        <w:tc>
          <w:tcPr>
            <w:tcW w:w="1568"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-1.25%</w:t>
            </w:r>
          </w:p>
        </w:tc>
      </w:tr>
    </w:tbl>
    <w:p>
      <w:pPr>
        <w:pStyle w:val="28"/>
        <w:keepNext w:val="0"/>
        <w:keepLines w:val="0"/>
        <w:pageBreakBefore w:val="0"/>
        <w:widowControl/>
        <w:numPr>
          <w:ilvl w:val="0"/>
          <w:numId w:val="3"/>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容积率修正</w:t>
      </w:r>
      <w:bookmarkEnd w:id="42"/>
      <w:bookmarkEnd w:id="43"/>
      <w:bookmarkEnd w:id="44"/>
      <w:bookmarkEnd w:id="45"/>
      <w:bookmarkEnd w:id="46"/>
    </w:p>
    <w:p>
      <w:pPr>
        <w:pStyle w:val="28"/>
        <w:keepNext w:val="0"/>
        <w:keepLines w:val="0"/>
        <w:pageBreakBefore w:val="0"/>
        <w:widowControl/>
        <w:numPr>
          <w:ilvl w:val="2"/>
          <w:numId w:val="0"/>
        </w:numPr>
        <w:kinsoku/>
        <w:wordWrap/>
        <w:overflowPunct/>
        <w:topLinePunct w:val="0"/>
        <w:autoSpaceDE/>
        <w:autoSpaceDN/>
        <w:bidi w:val="0"/>
        <w:adjustRightInd/>
        <w:snapToGrid/>
        <w:ind w:leftChars="200"/>
        <w:textAlignment w:val="auto"/>
        <w:rPr>
          <w:rFonts w:hint="default" w:ascii="仿宋_GB2312" w:hAnsi="仿宋_GB2312" w:eastAsia="仿宋_GB2312" w:cs="仿宋_GB2312"/>
          <w:b w:val="0"/>
          <w:bCs w:val="0"/>
          <w:sz w:val="32"/>
          <w:szCs w:val="32"/>
          <w:highlight w:val="none"/>
          <w:lang w:val="en-US" w:eastAsia="zh-CN"/>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eastAsia"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宅基地</w:t>
      </w:r>
      <w:r>
        <w:rPr>
          <w:rFonts w:hint="default" w:ascii="仿宋_GB2312" w:hAnsi="仿宋_GB2312" w:eastAsia="仿宋_GB2312" w:cs="仿宋_GB2312"/>
          <w:b w:val="0"/>
          <w:bCs w:val="0"/>
          <w:color w:val="auto"/>
          <w:kern w:val="28"/>
          <w:sz w:val="32"/>
          <w:szCs w:val="32"/>
          <w:highlight w:val="none"/>
          <w:lang w:val="en-US" w:eastAsia="zh-CN"/>
        </w:rPr>
        <w:t>容积率修正系数表</w:t>
      </w:r>
    </w:p>
    <w:tbl>
      <w:tblPr>
        <w:tblStyle w:val="15"/>
        <w:tblW w:w="0" w:type="auto"/>
        <w:jc w:val="center"/>
        <w:tblLayout w:type="autofit"/>
        <w:tblCellMar>
          <w:top w:w="0" w:type="dxa"/>
          <w:left w:w="108" w:type="dxa"/>
          <w:bottom w:w="0" w:type="dxa"/>
          <w:right w:w="108" w:type="dxa"/>
        </w:tblCellMar>
      </w:tblPr>
      <w:tblGrid>
        <w:gridCol w:w="1034"/>
        <w:gridCol w:w="936"/>
        <w:gridCol w:w="936"/>
        <w:gridCol w:w="936"/>
        <w:gridCol w:w="936"/>
        <w:gridCol w:w="936"/>
        <w:gridCol w:w="936"/>
        <w:gridCol w:w="936"/>
        <w:gridCol w:w="936"/>
      </w:tblGrid>
      <w:tr>
        <w:tblPrEx>
          <w:tblCellMar>
            <w:top w:w="0" w:type="dxa"/>
            <w:left w:w="108" w:type="dxa"/>
            <w:bottom w:w="0" w:type="dxa"/>
            <w:right w:w="108" w:type="dxa"/>
          </w:tblCellMar>
        </w:tblPrEx>
        <w:trPr>
          <w:trHeight w:val="300" w:hRule="atLeast"/>
          <w:jc w:val="center"/>
        </w:trPr>
        <w:tc>
          <w:tcPr>
            <w:tcW w:w="0" w:type="auto"/>
            <w:tcBorders>
              <w:top w:val="single" w:color="auto" w:sz="4" w:space="0"/>
              <w:left w:val="single" w:color="000000" w:sz="8" w:space="0"/>
              <w:bottom w:val="single" w:color="000000" w:sz="8" w:space="0"/>
              <w:right w:val="single" w:color="000000" w:sz="8" w:space="0"/>
            </w:tcBorders>
            <w:shd w:val="clear" w:color="auto" w:fill="auto"/>
            <w:vAlign w:val="center"/>
          </w:tcPr>
          <w:p>
            <w:pPr>
              <w:pStyle w:val="32"/>
              <w:spacing w:line="240" w:lineRule="auto"/>
              <w:jc w:val="center"/>
              <w:rPr>
                <w:rFonts w:ascii="仿宋_GB2312" w:hAnsi="仿宋_GB2312" w:eastAsia="仿宋_GB2312" w:cs="仿宋_GB2312"/>
                <w:b/>
                <w:color w:val="auto"/>
                <w:highlight w:val="none"/>
              </w:rPr>
            </w:pPr>
            <w:bookmarkStart w:id="47" w:name="_Toc435438838"/>
            <w:bookmarkStart w:id="48" w:name="_Toc435108585"/>
            <w:bookmarkStart w:id="49" w:name="_Toc435109086"/>
            <w:bookmarkStart w:id="50" w:name="_Toc435192440"/>
            <w:bookmarkStart w:id="51" w:name="_Toc435179422"/>
            <w:r>
              <w:rPr>
                <w:rFonts w:hint="eastAsia" w:ascii="仿宋_GB2312" w:hAnsi="仿宋_GB2312" w:eastAsia="仿宋_GB2312" w:cs="仿宋_GB2312"/>
                <w:b/>
                <w:color w:val="auto"/>
                <w:highlight w:val="none"/>
              </w:rPr>
              <w:t>容积率</w:t>
            </w:r>
          </w:p>
        </w:tc>
        <w:tc>
          <w:tcPr>
            <w:tcW w:w="936" w:type="dxa"/>
            <w:tcBorders>
              <w:top w:val="single" w:color="auto" w:sz="4" w:space="0"/>
              <w:left w:val="single" w:color="000000" w:sz="8" w:space="0"/>
              <w:bottom w:val="single" w:color="000000" w:sz="8" w:space="0"/>
              <w:right w:val="nil"/>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auto"/>
                <w:w w:val="90"/>
                <w:kern w:val="28"/>
                <w:sz w:val="21"/>
                <w:szCs w:val="21"/>
                <w:highlight w:val="none"/>
                <w:lang w:val="en-US" w:eastAsia="zh-CN" w:bidi="ar-SA"/>
              </w:rPr>
              <w:t>≤</w:t>
            </w:r>
            <w:r>
              <w:rPr>
                <w:rFonts w:hint="eastAsia" w:ascii="仿宋_GB2312" w:hAnsi="仿宋_GB2312" w:eastAsia="仿宋_GB2312" w:cs="仿宋_GB2312"/>
                <w:color w:val="000000"/>
                <w:kern w:val="0"/>
                <w:sz w:val="24"/>
                <w:highlight w:val="none"/>
              </w:rPr>
              <w:t>1</w:t>
            </w:r>
          </w:p>
        </w:tc>
        <w:tc>
          <w:tcPr>
            <w:tcW w:w="936"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w:t>
            </w:r>
          </w:p>
        </w:tc>
        <w:tc>
          <w:tcPr>
            <w:tcW w:w="936"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1.2</w:t>
            </w:r>
          </w:p>
        </w:tc>
        <w:tc>
          <w:tcPr>
            <w:tcW w:w="936"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1.3</w:t>
            </w:r>
          </w:p>
        </w:tc>
        <w:tc>
          <w:tcPr>
            <w:tcW w:w="936"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1.4</w:t>
            </w:r>
          </w:p>
        </w:tc>
        <w:tc>
          <w:tcPr>
            <w:tcW w:w="936" w:type="dxa"/>
            <w:tcBorders>
              <w:top w:val="single" w:color="auto" w:sz="4" w:space="0"/>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1.5</w:t>
            </w:r>
          </w:p>
        </w:tc>
        <w:tc>
          <w:tcPr>
            <w:tcW w:w="936" w:type="dxa"/>
            <w:tcBorders>
              <w:top w:val="single" w:color="auto" w:sz="4" w:space="0"/>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1.6</w:t>
            </w:r>
          </w:p>
        </w:tc>
        <w:tc>
          <w:tcPr>
            <w:tcW w:w="936" w:type="dxa"/>
            <w:tcBorders>
              <w:top w:val="single" w:color="auto" w:sz="4" w:space="0"/>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1.7</w:t>
            </w:r>
          </w:p>
        </w:tc>
      </w:tr>
      <w:tr>
        <w:tblPrEx>
          <w:tblCellMar>
            <w:top w:w="0" w:type="dxa"/>
            <w:left w:w="108" w:type="dxa"/>
            <w:bottom w:w="0" w:type="dxa"/>
            <w:right w:w="108" w:type="dxa"/>
          </w:tblCellMar>
        </w:tblPrEx>
        <w:trPr>
          <w:trHeight w:val="300" w:hRule="atLeast"/>
          <w:jc w:val="center"/>
        </w:trPr>
        <w:tc>
          <w:tcPr>
            <w:tcW w:w="0" w:type="auto"/>
            <w:tcBorders>
              <w:top w:val="nil"/>
              <w:left w:val="single" w:color="000000" w:sz="8" w:space="0"/>
              <w:bottom w:val="single" w:color="000000" w:sz="8" w:space="0"/>
              <w:right w:val="single" w:color="000000" w:sz="8" w:space="0"/>
            </w:tcBorders>
            <w:shd w:val="clear" w:color="auto" w:fill="auto"/>
            <w:vAlign w:val="center"/>
          </w:tcPr>
          <w:p>
            <w:pPr>
              <w:pStyle w:val="32"/>
              <w:spacing w:line="240" w:lineRule="auto"/>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修正系数</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0.862</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0.8706</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0.8793</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0.8881</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0.897</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0.906</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0.9151</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0.9243</w:t>
            </w:r>
          </w:p>
        </w:tc>
      </w:tr>
      <w:tr>
        <w:tblPrEx>
          <w:tblCellMar>
            <w:top w:w="0" w:type="dxa"/>
            <w:left w:w="108" w:type="dxa"/>
            <w:bottom w:w="0" w:type="dxa"/>
            <w:right w:w="108" w:type="dxa"/>
          </w:tblCellMar>
        </w:tblPrEx>
        <w:trPr>
          <w:trHeight w:val="300" w:hRule="atLeast"/>
          <w:jc w:val="center"/>
        </w:trPr>
        <w:tc>
          <w:tcPr>
            <w:tcW w:w="0" w:type="auto"/>
            <w:tcBorders>
              <w:top w:val="nil"/>
              <w:left w:val="single" w:color="000000" w:sz="8" w:space="0"/>
              <w:bottom w:val="single" w:color="000000" w:sz="8" w:space="0"/>
              <w:right w:val="single" w:color="000000" w:sz="8" w:space="0"/>
            </w:tcBorders>
            <w:shd w:val="clear" w:color="auto" w:fill="auto"/>
            <w:vAlign w:val="center"/>
          </w:tcPr>
          <w:p>
            <w:pPr>
              <w:pStyle w:val="32"/>
              <w:spacing w:line="240" w:lineRule="auto"/>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容积率</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2.2</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2.3</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2.4</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2.5</w:t>
            </w:r>
          </w:p>
        </w:tc>
      </w:tr>
      <w:tr>
        <w:tblPrEx>
          <w:tblCellMar>
            <w:top w:w="0" w:type="dxa"/>
            <w:left w:w="108" w:type="dxa"/>
            <w:bottom w:w="0" w:type="dxa"/>
            <w:right w:w="108" w:type="dxa"/>
          </w:tblCellMar>
        </w:tblPrEx>
        <w:trPr>
          <w:trHeight w:val="300" w:hRule="atLeast"/>
          <w:jc w:val="center"/>
        </w:trPr>
        <w:tc>
          <w:tcPr>
            <w:tcW w:w="0" w:type="auto"/>
            <w:tcBorders>
              <w:top w:val="nil"/>
              <w:left w:val="single" w:color="000000" w:sz="8" w:space="0"/>
              <w:bottom w:val="single" w:color="000000" w:sz="8" w:space="0"/>
              <w:right w:val="single" w:color="000000" w:sz="8" w:space="0"/>
            </w:tcBorders>
            <w:shd w:val="clear" w:color="auto" w:fill="auto"/>
            <w:vAlign w:val="center"/>
          </w:tcPr>
          <w:p>
            <w:pPr>
              <w:pStyle w:val="32"/>
              <w:spacing w:line="240" w:lineRule="auto"/>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修正系数</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0.9335</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0.9428</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0.9522</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0.9617</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0.9713</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0.981</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0.9908</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w:t>
            </w:r>
          </w:p>
        </w:tc>
      </w:tr>
      <w:tr>
        <w:tblPrEx>
          <w:tblCellMar>
            <w:top w:w="0" w:type="dxa"/>
            <w:left w:w="108" w:type="dxa"/>
            <w:bottom w:w="0" w:type="dxa"/>
            <w:right w:w="108" w:type="dxa"/>
          </w:tblCellMar>
        </w:tblPrEx>
        <w:trPr>
          <w:trHeight w:val="300" w:hRule="atLeast"/>
          <w:jc w:val="center"/>
        </w:trPr>
        <w:tc>
          <w:tcPr>
            <w:tcW w:w="0" w:type="auto"/>
            <w:tcBorders>
              <w:top w:val="nil"/>
              <w:left w:val="single" w:color="000000" w:sz="8" w:space="0"/>
              <w:bottom w:val="single" w:color="000000" w:sz="8" w:space="0"/>
              <w:right w:val="single" w:color="000000" w:sz="8" w:space="0"/>
            </w:tcBorders>
            <w:shd w:val="clear" w:color="auto" w:fill="auto"/>
            <w:vAlign w:val="center"/>
          </w:tcPr>
          <w:p>
            <w:pPr>
              <w:pStyle w:val="32"/>
              <w:spacing w:line="240" w:lineRule="auto"/>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容积率</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2.6</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2.7</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w:t>
            </w:r>
            <w:r>
              <w:rPr>
                <w:rFonts w:hint="eastAsia" w:ascii="仿宋_GB2312" w:hAnsi="仿宋_GB2312" w:eastAsia="仿宋_GB2312" w:cs="仿宋_GB2312"/>
                <w:color w:val="000000"/>
                <w:kern w:val="0"/>
                <w:sz w:val="24"/>
                <w:highlight w:val="none"/>
              </w:rPr>
              <w:t>2.8</w:t>
            </w:r>
          </w:p>
        </w:tc>
        <w:tc>
          <w:tcPr>
            <w:tcW w:w="4680" w:type="dxa"/>
            <w:gridSpan w:val="5"/>
            <w:vMerge w:val="restart"/>
            <w:tcBorders>
              <w:top w:val="nil"/>
              <w:left w:val="nil"/>
              <w:right w:val="single" w:color="000000" w:sz="8" w:space="0"/>
            </w:tcBorders>
            <w:shd w:val="clear" w:color="auto" w:fill="auto"/>
            <w:vAlign w:val="center"/>
          </w:tcPr>
          <w:p>
            <w:pPr>
              <w:widowControl/>
              <w:autoSpaceDE/>
              <w:autoSpaceDN/>
              <w:spacing w:line="240" w:lineRule="auto"/>
              <w:ind w:firstLine="0" w:firstLineChars="0"/>
              <w:jc w:val="center"/>
              <w:rPr>
                <w:rFonts w:ascii="仿宋_GB2312" w:hAnsi="仿宋_GB2312" w:eastAsia="仿宋_GB2312" w:cs="仿宋_GB2312"/>
                <w:highlight w:val="none"/>
              </w:rPr>
            </w:pPr>
          </w:p>
        </w:tc>
      </w:tr>
      <w:tr>
        <w:tblPrEx>
          <w:tblCellMar>
            <w:top w:w="0" w:type="dxa"/>
            <w:left w:w="108" w:type="dxa"/>
            <w:bottom w:w="0" w:type="dxa"/>
            <w:right w:w="108" w:type="dxa"/>
          </w:tblCellMar>
        </w:tblPrEx>
        <w:trPr>
          <w:trHeight w:val="300" w:hRule="atLeast"/>
          <w:jc w:val="center"/>
        </w:trPr>
        <w:tc>
          <w:tcPr>
            <w:tcW w:w="0" w:type="auto"/>
            <w:tcBorders>
              <w:top w:val="nil"/>
              <w:left w:val="single" w:color="000000" w:sz="8" w:space="0"/>
              <w:bottom w:val="single" w:color="000000" w:sz="8" w:space="0"/>
              <w:right w:val="single" w:color="000000" w:sz="8" w:space="0"/>
            </w:tcBorders>
            <w:shd w:val="clear" w:color="auto" w:fill="auto"/>
            <w:vAlign w:val="center"/>
          </w:tcPr>
          <w:p>
            <w:pPr>
              <w:pStyle w:val="32"/>
              <w:spacing w:line="240" w:lineRule="auto"/>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修正系数</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1.0008</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1.0219</w:t>
            </w:r>
          </w:p>
        </w:tc>
        <w:tc>
          <w:tcPr>
            <w:tcW w:w="936" w:type="dxa"/>
            <w:tcBorders>
              <w:top w:val="nil"/>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1.0425</w:t>
            </w:r>
          </w:p>
        </w:tc>
        <w:tc>
          <w:tcPr>
            <w:tcW w:w="4680" w:type="dxa"/>
            <w:gridSpan w:val="5"/>
            <w:vMerge w:val="continue"/>
            <w:tcBorders>
              <w:left w:val="nil"/>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rPr>
                <w:rFonts w:ascii="仿宋_GB2312" w:hAnsi="仿宋_GB2312" w:eastAsia="仿宋_GB2312" w:cs="仿宋_GB2312"/>
                <w:highlight w:val="none"/>
              </w:rPr>
            </w:pPr>
          </w:p>
        </w:tc>
      </w:tr>
    </w:tbl>
    <w:p>
      <w:pPr>
        <w:adjustRightInd w:val="0"/>
        <w:snapToGrid w:val="0"/>
        <w:spacing w:before="72" w:after="72" w:line="240" w:lineRule="auto"/>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注：当宗地容积率在上述容积率之间时，容积率修正系数需根据上表有关数据线性内插计算得到。线性内插公式：当r1＜r＜r2（即r1、r2为修正系数表中r的相邻容积率）时，x1、x2为r1、r2对应的容积率修正系数，容积率的修正系数：x=x1+（x2-x1）×（r-r1）/（r2-r1）。</w:t>
      </w:r>
    </w:p>
    <w:bookmarkEnd w:id="47"/>
    <w:bookmarkEnd w:id="48"/>
    <w:bookmarkEnd w:id="49"/>
    <w:bookmarkEnd w:id="50"/>
    <w:bookmarkEnd w:id="51"/>
    <w:p>
      <w:pPr>
        <w:pStyle w:val="28"/>
        <w:keepNext w:val="0"/>
        <w:keepLines w:val="0"/>
        <w:pageBreakBefore w:val="0"/>
        <w:widowControl/>
        <w:numPr>
          <w:ilvl w:val="0"/>
          <w:numId w:val="3"/>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bookmarkStart w:id="52" w:name="_Toc435109087"/>
      <w:bookmarkStart w:id="53" w:name="_Toc435438839"/>
      <w:bookmarkStart w:id="54" w:name="_Toc435192441"/>
      <w:bookmarkStart w:id="55" w:name="_Toc435108586"/>
      <w:bookmarkStart w:id="56" w:name="_Toc435179423"/>
      <w:r>
        <w:rPr>
          <w:rFonts w:hint="default" w:ascii="仿宋_GB2312" w:hAnsi="仿宋_GB2312" w:eastAsia="仿宋_GB2312" w:cs="仿宋_GB2312"/>
          <w:b w:val="0"/>
          <w:bCs w:val="0"/>
          <w:sz w:val="32"/>
          <w:szCs w:val="32"/>
          <w:highlight w:val="none"/>
          <w:lang w:val="en-US" w:eastAsia="zh-CN"/>
        </w:rPr>
        <w:t>临江修正系数</w:t>
      </w:r>
    </w:p>
    <w:p>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21"/>
          <w:highlight w:val="none"/>
          <w:lang w:eastAsia="zh-CN"/>
        </w:rPr>
      </w:pPr>
      <w:r>
        <w:rPr>
          <w:rFonts w:hint="eastAsia" w:ascii="仿宋_GB2312" w:hAnsi="仿宋_GB2312" w:eastAsia="仿宋_GB2312" w:cs="仿宋_GB2312"/>
          <w:sz w:val="32"/>
          <w:szCs w:val="21"/>
          <w:highlight w:val="none"/>
          <w:lang w:eastAsia="zh-CN"/>
        </w:rPr>
        <w:t>临江住宅比非临江的住宅景观条件好，以及人们对江景的独特感情。其地价一般高于非临江住宅用地的平均价格水平，经调查，韶关市曲江区江景的住宅与非江景住宅在售价上的差幅一般在10%～20%。临马坝河两岸的临江建设用地，其临江用地红线以内50米部分的基准地价在原基础上有一定幅度的增加。根据对宅基地的价格影响，宅基地其临江用地红线以内50米部分的基准地价在原基础上增加10%，即临江修正系数为10%。如在评估时点，待估宗地和江边之间已有其他建筑物的，则不用做临江修正。</w:t>
      </w:r>
    </w:p>
    <w:p>
      <w:pPr>
        <w:pStyle w:val="28"/>
        <w:keepNext w:val="0"/>
        <w:keepLines w:val="0"/>
        <w:pageBreakBefore w:val="0"/>
        <w:widowControl/>
        <w:numPr>
          <w:ilvl w:val="0"/>
          <w:numId w:val="3"/>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其他个别因素修正编制</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宅基地</w:t>
      </w:r>
      <w:r>
        <w:rPr>
          <w:rFonts w:hint="default" w:ascii="仿宋_GB2312" w:hAnsi="仿宋_GB2312" w:eastAsia="仿宋_GB2312" w:cs="仿宋_GB2312"/>
          <w:b w:val="0"/>
          <w:bCs w:val="0"/>
          <w:color w:val="auto"/>
          <w:kern w:val="28"/>
          <w:sz w:val="32"/>
          <w:szCs w:val="32"/>
          <w:highlight w:val="none"/>
          <w:lang w:val="en-US" w:eastAsia="zh-CN"/>
        </w:rPr>
        <w:t>其他个别因素修正系数</w:t>
      </w:r>
    </w:p>
    <w:tbl>
      <w:tblPr>
        <w:tblStyle w:val="15"/>
        <w:tblW w:w="5221" w:type="pct"/>
        <w:jc w:val="center"/>
        <w:tblLayout w:type="autofit"/>
        <w:tblCellMar>
          <w:top w:w="0" w:type="dxa"/>
          <w:left w:w="108" w:type="dxa"/>
          <w:bottom w:w="0" w:type="dxa"/>
          <w:right w:w="108" w:type="dxa"/>
        </w:tblCellMar>
      </w:tblPr>
      <w:tblGrid>
        <w:gridCol w:w="1300"/>
        <w:gridCol w:w="1518"/>
        <w:gridCol w:w="1518"/>
        <w:gridCol w:w="1518"/>
        <w:gridCol w:w="1518"/>
        <w:gridCol w:w="1527"/>
      </w:tblGrid>
      <w:tr>
        <w:tblPrEx>
          <w:tblCellMar>
            <w:top w:w="0" w:type="dxa"/>
            <w:left w:w="108" w:type="dxa"/>
            <w:bottom w:w="0" w:type="dxa"/>
            <w:right w:w="108" w:type="dxa"/>
          </w:tblCellMar>
        </w:tblPrEx>
        <w:trPr>
          <w:trHeight w:val="340" w:hRule="atLeast"/>
          <w:tblHeader/>
          <w:jc w:val="center"/>
        </w:trPr>
        <w:tc>
          <w:tcPr>
            <w:tcW w:w="730" w:type="pct"/>
            <w:tcBorders>
              <w:top w:val="single" w:color="auto" w:sz="4" w:space="0"/>
              <w:left w:val="single" w:color="auto" w:sz="4" w:space="0"/>
              <w:bottom w:val="single" w:color="auto" w:sz="4" w:space="0"/>
              <w:right w:val="single" w:color="auto" w:sz="4" w:space="0"/>
              <w:tl2br w:val="single" w:color="auto" w:sz="4" w:space="0"/>
            </w:tcBorders>
            <w:vAlign w:val="center"/>
          </w:tcPr>
          <w:p>
            <w:pPr>
              <w:pStyle w:val="32"/>
              <w:spacing w:line="240" w:lineRule="auto"/>
              <w:jc w:val="right"/>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优劣度</w:t>
            </w:r>
          </w:p>
          <w:p>
            <w:pPr>
              <w:pStyle w:val="32"/>
              <w:spacing w:line="24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因素</w:t>
            </w:r>
          </w:p>
        </w:tc>
        <w:tc>
          <w:tcPr>
            <w:tcW w:w="852"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w:t>
            </w:r>
          </w:p>
        </w:tc>
        <w:tc>
          <w:tcPr>
            <w:tcW w:w="852" w:type="pct"/>
            <w:tcBorders>
              <w:top w:val="single" w:color="auto" w:sz="4" w:space="0"/>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较优</w:t>
            </w:r>
          </w:p>
        </w:tc>
        <w:tc>
          <w:tcPr>
            <w:tcW w:w="852" w:type="pct"/>
            <w:tcBorders>
              <w:top w:val="single" w:color="auto" w:sz="4" w:space="0"/>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一般</w:t>
            </w:r>
          </w:p>
        </w:tc>
        <w:tc>
          <w:tcPr>
            <w:tcW w:w="852" w:type="pct"/>
            <w:tcBorders>
              <w:top w:val="single" w:color="auto" w:sz="4" w:space="0"/>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较劣</w:t>
            </w:r>
          </w:p>
        </w:tc>
        <w:tc>
          <w:tcPr>
            <w:tcW w:w="857" w:type="pct"/>
            <w:tcBorders>
              <w:top w:val="single" w:color="auto" w:sz="4" w:space="0"/>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劣</w:t>
            </w:r>
          </w:p>
        </w:tc>
      </w:tr>
      <w:tr>
        <w:tblPrEx>
          <w:tblCellMar>
            <w:top w:w="0" w:type="dxa"/>
            <w:left w:w="108" w:type="dxa"/>
            <w:bottom w:w="0" w:type="dxa"/>
            <w:right w:w="108" w:type="dxa"/>
          </w:tblCellMar>
        </w:tblPrEx>
        <w:trPr>
          <w:trHeight w:val="340"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宗地面积</w:t>
            </w:r>
          </w:p>
        </w:tc>
        <w:tc>
          <w:tcPr>
            <w:tcW w:w="852"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面积适中，对土地利用极为有利</w:t>
            </w:r>
          </w:p>
        </w:tc>
        <w:tc>
          <w:tcPr>
            <w:tcW w:w="852"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面积对土地利用较为有利</w:t>
            </w:r>
          </w:p>
        </w:tc>
        <w:tc>
          <w:tcPr>
            <w:tcW w:w="852"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面积对土地利用无不良影响</w:t>
            </w:r>
          </w:p>
        </w:tc>
        <w:tc>
          <w:tcPr>
            <w:tcW w:w="852"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面积较小，对土地利用有一定影响</w:t>
            </w:r>
          </w:p>
        </w:tc>
        <w:tc>
          <w:tcPr>
            <w:tcW w:w="857"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面积过小，对土地利用产生严重影响</w:t>
            </w:r>
          </w:p>
        </w:tc>
      </w:tr>
      <w:tr>
        <w:tblPrEx>
          <w:tblCellMar>
            <w:top w:w="0" w:type="dxa"/>
            <w:left w:w="108" w:type="dxa"/>
            <w:bottom w:w="0" w:type="dxa"/>
            <w:right w:w="108" w:type="dxa"/>
          </w:tblCellMar>
        </w:tblPrEx>
        <w:trPr>
          <w:trHeight w:val="340" w:hRule="atLeast"/>
          <w:jc w:val="center"/>
        </w:trPr>
        <w:tc>
          <w:tcPr>
            <w:tcW w:w="730" w:type="pct"/>
            <w:tcBorders>
              <w:top w:val="nil"/>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0</w:t>
            </w:r>
            <w:r>
              <w:rPr>
                <w:rFonts w:hint="eastAsia" w:ascii="仿宋_GB2312" w:hAnsi="仿宋_GB2312" w:eastAsia="仿宋_GB2312" w:cs="仿宋_GB2312"/>
                <w:sz w:val="24"/>
                <w:highlight w:val="none"/>
                <w:lang w:val="en-US"/>
              </w:rPr>
              <w:t>%</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857"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tblPrEx>
          <w:tblCellMar>
            <w:top w:w="0" w:type="dxa"/>
            <w:left w:w="108" w:type="dxa"/>
            <w:bottom w:w="0" w:type="dxa"/>
            <w:right w:w="108" w:type="dxa"/>
          </w:tblCellMar>
        </w:tblPrEx>
        <w:trPr>
          <w:trHeight w:val="340" w:hRule="atLeast"/>
          <w:jc w:val="center"/>
        </w:trPr>
        <w:tc>
          <w:tcPr>
            <w:tcW w:w="730" w:type="pct"/>
            <w:tcBorders>
              <w:top w:val="nil"/>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宗地形状</w:t>
            </w:r>
          </w:p>
        </w:tc>
        <w:tc>
          <w:tcPr>
            <w:tcW w:w="852"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形状规则，对土地利用合理</w:t>
            </w:r>
          </w:p>
        </w:tc>
        <w:tc>
          <w:tcPr>
            <w:tcW w:w="852"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形状较规则，土地利用较为合理</w:t>
            </w:r>
          </w:p>
        </w:tc>
        <w:tc>
          <w:tcPr>
            <w:tcW w:w="852"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形状一般，土地利用无不良影响</w:t>
            </w:r>
          </w:p>
        </w:tc>
        <w:tc>
          <w:tcPr>
            <w:tcW w:w="852"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形状不规则，对土地利用不合理</w:t>
            </w:r>
          </w:p>
        </w:tc>
        <w:tc>
          <w:tcPr>
            <w:tcW w:w="857"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形状不规则，对土地利用产生严重影响</w:t>
            </w:r>
          </w:p>
        </w:tc>
      </w:tr>
      <w:tr>
        <w:tblPrEx>
          <w:tblCellMar>
            <w:top w:w="0" w:type="dxa"/>
            <w:left w:w="108" w:type="dxa"/>
            <w:bottom w:w="0" w:type="dxa"/>
            <w:right w:w="108" w:type="dxa"/>
          </w:tblCellMar>
        </w:tblPrEx>
        <w:trPr>
          <w:trHeight w:val="340" w:hRule="atLeast"/>
          <w:jc w:val="center"/>
        </w:trPr>
        <w:tc>
          <w:tcPr>
            <w:tcW w:w="730" w:type="pct"/>
            <w:tcBorders>
              <w:top w:val="nil"/>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0</w:t>
            </w:r>
            <w:r>
              <w:rPr>
                <w:rFonts w:hint="eastAsia" w:ascii="仿宋_GB2312" w:hAnsi="仿宋_GB2312" w:eastAsia="仿宋_GB2312" w:cs="仿宋_GB2312"/>
                <w:sz w:val="24"/>
                <w:highlight w:val="none"/>
                <w:lang w:val="en-US"/>
              </w:rPr>
              <w:t>%</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857"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tblPrEx>
          <w:tblCellMar>
            <w:top w:w="0" w:type="dxa"/>
            <w:left w:w="108" w:type="dxa"/>
            <w:bottom w:w="0" w:type="dxa"/>
            <w:right w:w="108" w:type="dxa"/>
          </w:tblCellMar>
        </w:tblPrEx>
        <w:trPr>
          <w:trHeight w:val="340" w:hRule="atLeast"/>
          <w:jc w:val="center"/>
        </w:trPr>
        <w:tc>
          <w:tcPr>
            <w:tcW w:w="730" w:type="pct"/>
            <w:tcBorders>
              <w:top w:val="nil"/>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地形</w:t>
            </w:r>
          </w:p>
        </w:tc>
        <w:tc>
          <w:tcPr>
            <w:tcW w:w="852" w:type="pct"/>
            <w:tcBorders>
              <w:top w:val="nil"/>
              <w:left w:val="nil"/>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地形平坦，可直接开发利用</w:t>
            </w:r>
          </w:p>
        </w:tc>
        <w:tc>
          <w:tcPr>
            <w:tcW w:w="852" w:type="pct"/>
            <w:tcBorders>
              <w:top w:val="nil"/>
              <w:left w:val="nil"/>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地形较平坦</w:t>
            </w:r>
          </w:p>
        </w:tc>
        <w:tc>
          <w:tcPr>
            <w:tcW w:w="852" w:type="pct"/>
            <w:tcBorders>
              <w:top w:val="nil"/>
              <w:left w:val="nil"/>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地形对土地利用无不良影响</w:t>
            </w:r>
          </w:p>
        </w:tc>
        <w:tc>
          <w:tcPr>
            <w:tcW w:w="852" w:type="pct"/>
            <w:tcBorders>
              <w:top w:val="nil"/>
              <w:left w:val="nil"/>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有一定地形坡度和起伏，对土地利用有一定影响</w:t>
            </w:r>
          </w:p>
        </w:tc>
        <w:tc>
          <w:tcPr>
            <w:tcW w:w="857" w:type="pct"/>
            <w:tcBorders>
              <w:top w:val="nil"/>
              <w:left w:val="nil"/>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地形起伏、坡度较大，对土地利用产生严重影响</w:t>
            </w:r>
          </w:p>
        </w:tc>
      </w:tr>
      <w:tr>
        <w:tblPrEx>
          <w:tblCellMar>
            <w:top w:w="0" w:type="dxa"/>
            <w:left w:w="108" w:type="dxa"/>
            <w:bottom w:w="0" w:type="dxa"/>
            <w:right w:w="108" w:type="dxa"/>
          </w:tblCellMar>
        </w:tblPrEx>
        <w:trPr>
          <w:trHeight w:val="340" w:hRule="atLeast"/>
          <w:jc w:val="center"/>
        </w:trPr>
        <w:tc>
          <w:tcPr>
            <w:tcW w:w="730" w:type="pct"/>
            <w:tcBorders>
              <w:top w:val="nil"/>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0</w:t>
            </w:r>
            <w:r>
              <w:rPr>
                <w:rFonts w:hint="eastAsia" w:ascii="仿宋_GB2312" w:hAnsi="仿宋_GB2312" w:eastAsia="仿宋_GB2312" w:cs="仿宋_GB2312"/>
                <w:sz w:val="24"/>
                <w:highlight w:val="none"/>
                <w:lang w:val="en-US"/>
              </w:rPr>
              <w:t>%</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857"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tblPrEx>
          <w:tblCellMar>
            <w:top w:w="0" w:type="dxa"/>
            <w:left w:w="108" w:type="dxa"/>
            <w:bottom w:w="0" w:type="dxa"/>
            <w:right w:w="108" w:type="dxa"/>
          </w:tblCellMar>
        </w:tblPrEx>
        <w:trPr>
          <w:trHeight w:val="340" w:hRule="atLeast"/>
          <w:jc w:val="center"/>
        </w:trPr>
        <w:tc>
          <w:tcPr>
            <w:tcW w:w="730" w:type="pct"/>
            <w:tcBorders>
              <w:top w:val="nil"/>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地势</w:t>
            </w:r>
          </w:p>
        </w:tc>
        <w:tc>
          <w:tcPr>
            <w:tcW w:w="852" w:type="pct"/>
            <w:tcBorders>
              <w:top w:val="nil"/>
              <w:left w:val="nil"/>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地势较高，排水通风条件好，出入口设置仍然便利</w:t>
            </w:r>
          </w:p>
        </w:tc>
        <w:tc>
          <w:tcPr>
            <w:tcW w:w="852" w:type="pct"/>
            <w:tcBorders>
              <w:top w:val="nil"/>
              <w:left w:val="nil"/>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地势一般，通风排水条件一般，不影响出入口设置</w:t>
            </w:r>
          </w:p>
        </w:tc>
        <w:tc>
          <w:tcPr>
            <w:tcW w:w="852" w:type="pct"/>
            <w:tcBorders>
              <w:top w:val="nil"/>
              <w:left w:val="nil"/>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地势一般，排水通风条件一般</w:t>
            </w:r>
          </w:p>
        </w:tc>
        <w:tc>
          <w:tcPr>
            <w:tcW w:w="852" w:type="pct"/>
            <w:tcBorders>
              <w:top w:val="nil"/>
              <w:left w:val="nil"/>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地势偏高，对出入通道设置有一定影响</w:t>
            </w:r>
          </w:p>
        </w:tc>
        <w:tc>
          <w:tcPr>
            <w:tcW w:w="857" w:type="pct"/>
            <w:tcBorders>
              <w:top w:val="nil"/>
              <w:left w:val="nil"/>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地势偏低，不利于通风排水和出入口设置</w:t>
            </w:r>
          </w:p>
        </w:tc>
      </w:tr>
      <w:tr>
        <w:tblPrEx>
          <w:tblCellMar>
            <w:top w:w="0" w:type="dxa"/>
            <w:left w:w="108" w:type="dxa"/>
            <w:bottom w:w="0" w:type="dxa"/>
            <w:right w:w="108" w:type="dxa"/>
          </w:tblCellMar>
        </w:tblPrEx>
        <w:trPr>
          <w:trHeight w:val="340" w:hRule="atLeast"/>
          <w:jc w:val="center"/>
        </w:trPr>
        <w:tc>
          <w:tcPr>
            <w:tcW w:w="730" w:type="pct"/>
            <w:tcBorders>
              <w:top w:val="nil"/>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0</w:t>
            </w:r>
            <w:r>
              <w:rPr>
                <w:rFonts w:hint="eastAsia" w:ascii="仿宋_GB2312" w:hAnsi="仿宋_GB2312" w:eastAsia="仿宋_GB2312" w:cs="仿宋_GB2312"/>
                <w:sz w:val="24"/>
                <w:highlight w:val="none"/>
                <w:lang w:val="en-US"/>
              </w:rPr>
              <w:t>%</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857"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tblPrEx>
          <w:tblCellMar>
            <w:top w:w="0" w:type="dxa"/>
            <w:left w:w="108" w:type="dxa"/>
            <w:bottom w:w="0" w:type="dxa"/>
            <w:right w:w="108" w:type="dxa"/>
          </w:tblCellMar>
        </w:tblPrEx>
        <w:trPr>
          <w:trHeight w:val="340"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宗地地基承载力</w:t>
            </w:r>
          </w:p>
        </w:tc>
        <w:tc>
          <w:tcPr>
            <w:tcW w:w="852" w:type="pct"/>
            <w:tcBorders>
              <w:top w:val="single" w:color="auto" w:sz="4" w:space="0"/>
              <w:left w:val="single" w:color="auto" w:sz="4" w:space="0"/>
              <w:bottom w:val="single" w:color="auto" w:sz="4" w:space="0"/>
              <w:right w:val="single" w:color="auto" w:sz="4" w:space="0"/>
            </w:tcBorders>
            <w:vAlign w:val="center"/>
          </w:tcPr>
          <w:p>
            <w:pPr>
              <w:pStyle w:val="30"/>
              <w:spacing w:before="2"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rPr>
              <w:t>宗地地基承载力好</w:t>
            </w:r>
          </w:p>
        </w:tc>
        <w:tc>
          <w:tcPr>
            <w:tcW w:w="852"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rPr>
              <w:t>宗地地基承载力较好</w:t>
            </w:r>
          </w:p>
        </w:tc>
        <w:tc>
          <w:tcPr>
            <w:tcW w:w="852"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宗地地基承载力适宜</w:t>
            </w:r>
          </w:p>
        </w:tc>
        <w:tc>
          <w:tcPr>
            <w:tcW w:w="852"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宗地地基承载力较差</w:t>
            </w:r>
          </w:p>
        </w:tc>
        <w:tc>
          <w:tcPr>
            <w:tcW w:w="857"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宗地地基承载力差</w:t>
            </w:r>
          </w:p>
        </w:tc>
      </w:tr>
      <w:tr>
        <w:tblPrEx>
          <w:tblCellMar>
            <w:top w:w="0" w:type="dxa"/>
            <w:left w:w="108" w:type="dxa"/>
            <w:bottom w:w="0" w:type="dxa"/>
            <w:right w:w="108" w:type="dxa"/>
          </w:tblCellMar>
        </w:tblPrEx>
        <w:trPr>
          <w:trHeight w:val="340"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852"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852"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852"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0</w:t>
            </w:r>
            <w:r>
              <w:rPr>
                <w:rFonts w:hint="eastAsia" w:ascii="仿宋_GB2312" w:hAnsi="仿宋_GB2312" w:eastAsia="仿宋_GB2312" w:cs="仿宋_GB2312"/>
                <w:sz w:val="24"/>
                <w:highlight w:val="none"/>
                <w:lang w:val="en-US"/>
              </w:rPr>
              <w:t>%</w:t>
            </w:r>
          </w:p>
        </w:tc>
        <w:tc>
          <w:tcPr>
            <w:tcW w:w="852"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857"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bookmarkEnd w:id="52"/>
      <w:bookmarkEnd w:id="53"/>
      <w:bookmarkEnd w:id="54"/>
      <w:bookmarkEnd w:id="55"/>
      <w:bookmarkEnd w:id="56"/>
    </w:tbl>
    <w:p>
      <w:pPr>
        <w:pStyle w:val="28"/>
        <w:keepNext w:val="0"/>
        <w:keepLines w:val="0"/>
        <w:pageBreakBefore w:val="0"/>
        <w:widowControl/>
        <w:numPr>
          <w:ilvl w:val="0"/>
          <w:numId w:val="3"/>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bookmarkStart w:id="57" w:name="_Toc435179424"/>
      <w:bookmarkStart w:id="58" w:name="_Toc435109088"/>
      <w:bookmarkStart w:id="59" w:name="_Toc435108587"/>
      <w:bookmarkStart w:id="60" w:name="_Toc435192442"/>
      <w:bookmarkStart w:id="61" w:name="_Toc435438840"/>
      <w:r>
        <w:rPr>
          <w:rFonts w:hint="default" w:ascii="仿宋_GB2312" w:hAnsi="仿宋_GB2312" w:eastAsia="仿宋_GB2312" w:cs="仿宋_GB2312"/>
          <w:b w:val="0"/>
          <w:bCs w:val="0"/>
          <w:sz w:val="32"/>
          <w:szCs w:val="32"/>
          <w:highlight w:val="none"/>
          <w:lang w:val="en-US" w:eastAsia="zh-CN"/>
        </w:rPr>
        <w:t>土地开发程度修正</w:t>
      </w:r>
      <w:bookmarkEnd w:id="57"/>
      <w:bookmarkEnd w:id="58"/>
      <w:bookmarkEnd w:id="59"/>
      <w:bookmarkEnd w:id="60"/>
      <w:bookmarkEnd w:id="61"/>
    </w:p>
    <w:p>
      <w:pPr>
        <w:ind w:firstLine="560"/>
        <w:rPr>
          <w:rFonts w:ascii="仿宋_GB2312" w:hAnsi="仿宋_GB2312" w:eastAsia="仿宋_GB2312" w:cs="仿宋_GB2312"/>
          <w:highlight w:val="none"/>
        </w:rPr>
      </w:pPr>
      <w:r>
        <w:rPr>
          <w:rFonts w:hint="eastAsia" w:ascii="仿宋_GB2312" w:hAnsi="仿宋_GB2312" w:eastAsia="仿宋_GB2312" w:cs="仿宋_GB2312"/>
          <w:kern w:val="0"/>
          <w:sz w:val="32"/>
          <w:szCs w:val="21"/>
          <w:highlight w:val="none"/>
          <w:lang w:eastAsia="zh-CN"/>
        </w:rPr>
        <w:t>韶关市曲江区宅基地基准地价为“三通一平”（宗地红线外通路、通水、通电，宗地红线内场地平整）土地开发程度下的价格。当运用集体建设用地基准地价法进行宗地评估时，若宗地未达到或超过基准地价设定开发程度时，应酌情扣除或增加相应开发费用。</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eastAsia"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土地开发程度修正值表</w:t>
      </w:r>
    </w:p>
    <w:tbl>
      <w:tblPr>
        <w:tblStyle w:val="15"/>
        <w:tblW w:w="501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382"/>
        <w:gridCol w:w="851"/>
        <w:gridCol w:w="923"/>
        <w:gridCol w:w="863"/>
        <w:gridCol w:w="838"/>
        <w:gridCol w:w="838"/>
        <w:gridCol w:w="833"/>
        <w:gridCol w:w="853"/>
        <w:gridCol w:w="9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jc w:val="center"/>
        </w:trPr>
        <w:tc>
          <w:tcPr>
            <w:tcW w:w="828" w:type="pct"/>
            <w:vMerge w:val="restart"/>
            <w:tcBorders>
              <w:top w:val="single" w:color="auto"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土地开发程度</w:t>
            </w:r>
          </w:p>
        </w:tc>
        <w:tc>
          <w:tcPr>
            <w:tcW w:w="3594" w:type="pct"/>
            <w:gridSpan w:val="7"/>
            <w:tcBorders>
              <w:top w:val="single" w:color="auto"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开发项目及成本（元/平方米）</w:t>
            </w:r>
          </w:p>
        </w:tc>
        <w:tc>
          <w:tcPr>
            <w:tcW w:w="576" w:type="pct"/>
            <w:tcBorders>
              <w:top w:val="single" w:color="auto" w:sz="4" w:space="0"/>
              <w:left w:val="single" w:color="000000" w:sz="4" w:space="0"/>
              <w:bottom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jc w:val="center"/>
        </w:trPr>
        <w:tc>
          <w:tcPr>
            <w:tcW w:w="828" w:type="pct"/>
            <w:vMerge w:val="continue"/>
            <w:tcBorders>
              <w:top w:val="nil"/>
              <w:bottom w:val="single" w:color="000000" w:sz="4" w:space="0"/>
              <w:right w:val="single" w:color="000000" w:sz="4" w:space="0"/>
            </w:tcBorders>
            <w:vAlign w:val="center"/>
          </w:tcPr>
          <w:p>
            <w:pPr>
              <w:spacing w:line="240" w:lineRule="auto"/>
              <w:ind w:firstLine="0" w:firstLineChars="0"/>
              <w:jc w:val="center"/>
              <w:rPr>
                <w:rFonts w:ascii="仿宋_GB2312" w:hAnsi="仿宋_GB2312" w:eastAsia="仿宋_GB2312" w:cs="仿宋_GB2312"/>
                <w:sz w:val="24"/>
                <w:highlight w:val="none"/>
              </w:rPr>
            </w:pPr>
          </w:p>
        </w:tc>
        <w:tc>
          <w:tcPr>
            <w:tcW w:w="510" w:type="pct"/>
            <w:tcBorders>
              <w:top w:val="single" w:color="000000"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通上水</w:t>
            </w:r>
          </w:p>
        </w:tc>
        <w:tc>
          <w:tcPr>
            <w:tcW w:w="553" w:type="pct"/>
            <w:tcBorders>
              <w:top w:val="single" w:color="000000"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通下水</w:t>
            </w:r>
          </w:p>
        </w:tc>
        <w:tc>
          <w:tcPr>
            <w:tcW w:w="517" w:type="pct"/>
            <w:tcBorders>
              <w:top w:val="single" w:color="000000"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通电</w:t>
            </w:r>
          </w:p>
        </w:tc>
        <w:tc>
          <w:tcPr>
            <w:tcW w:w="502" w:type="pct"/>
            <w:tcBorders>
              <w:top w:val="single" w:color="000000"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通讯</w:t>
            </w:r>
          </w:p>
        </w:tc>
        <w:tc>
          <w:tcPr>
            <w:tcW w:w="502" w:type="pct"/>
            <w:tcBorders>
              <w:top w:val="single" w:color="000000"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通路</w:t>
            </w:r>
          </w:p>
        </w:tc>
        <w:tc>
          <w:tcPr>
            <w:tcW w:w="499" w:type="pct"/>
            <w:tcBorders>
              <w:top w:val="single" w:color="000000"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通气</w:t>
            </w:r>
          </w:p>
        </w:tc>
        <w:tc>
          <w:tcPr>
            <w:tcW w:w="510" w:type="pct"/>
            <w:tcBorders>
              <w:top w:val="single" w:color="000000"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平整</w:t>
            </w:r>
          </w:p>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土地</w:t>
            </w:r>
          </w:p>
        </w:tc>
        <w:tc>
          <w:tcPr>
            <w:tcW w:w="576" w:type="pct"/>
            <w:tcBorders>
              <w:top w:val="single" w:color="000000" w:sz="4" w:space="0"/>
              <w:left w:val="single" w:color="000000" w:sz="4" w:space="0"/>
              <w:bottom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元/平方米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jc w:val="center"/>
        </w:trPr>
        <w:tc>
          <w:tcPr>
            <w:tcW w:w="828" w:type="pct"/>
            <w:tcBorders>
              <w:top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数据</w:t>
            </w:r>
          </w:p>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统计范围</w:t>
            </w:r>
          </w:p>
        </w:tc>
        <w:tc>
          <w:tcPr>
            <w:tcW w:w="926"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ascii="Times New Roman" w:hAnsi="Times New Roman" w:eastAsia="仿宋" w:cs="Times New Roman"/>
                <w:sz w:val="24"/>
                <w:szCs w:val="24"/>
                <w:highlight w:val="none"/>
              </w:rPr>
              <w:t>10～</w:t>
            </w:r>
            <w:r>
              <w:rPr>
                <w:rFonts w:hint="eastAsia" w:ascii="Times New Roman" w:hAnsi="Times New Roman" w:eastAsia="仿宋" w:cs="Times New Roman"/>
                <w:sz w:val="24"/>
                <w:szCs w:val="24"/>
                <w:highlight w:val="none"/>
                <w:lang w:val="en-US"/>
              </w:rPr>
              <w:t>25</w:t>
            </w:r>
          </w:p>
        </w:tc>
        <w:tc>
          <w:tcPr>
            <w:tcW w:w="1003"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ascii="Times New Roman" w:hAnsi="Times New Roman" w:eastAsia="仿宋" w:cs="Times New Roman"/>
                <w:sz w:val="24"/>
                <w:szCs w:val="24"/>
                <w:highlight w:val="none"/>
                <w:lang w:val="en-US"/>
              </w:rPr>
              <w:t>10</w:t>
            </w:r>
            <w:r>
              <w:rPr>
                <w:rFonts w:ascii="Times New Roman" w:hAnsi="Times New Roman" w:eastAsia="仿宋" w:cs="Times New Roman"/>
                <w:sz w:val="24"/>
                <w:szCs w:val="24"/>
                <w:highlight w:val="none"/>
              </w:rPr>
              <w:t>～</w:t>
            </w:r>
            <w:r>
              <w:rPr>
                <w:rFonts w:ascii="Times New Roman" w:hAnsi="Times New Roman" w:eastAsia="仿宋" w:cs="Times New Roman"/>
                <w:sz w:val="24"/>
                <w:szCs w:val="24"/>
                <w:highlight w:val="none"/>
                <w:lang w:val="en-US"/>
              </w:rPr>
              <w:t>25</w:t>
            </w:r>
          </w:p>
        </w:tc>
        <w:tc>
          <w:tcPr>
            <w:tcW w:w="938"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hint="eastAsia" w:ascii="Times New Roman" w:hAnsi="Times New Roman" w:eastAsia="仿宋" w:cs="Times New Roman"/>
                <w:sz w:val="24"/>
                <w:szCs w:val="24"/>
                <w:highlight w:val="none"/>
                <w:lang w:val="en-US"/>
              </w:rPr>
              <w:t>1</w:t>
            </w:r>
            <w:r>
              <w:rPr>
                <w:rFonts w:hint="eastAsia" w:ascii="Times New Roman" w:hAnsi="Times New Roman" w:eastAsia="仿宋" w:cs="Times New Roman"/>
                <w:sz w:val="24"/>
                <w:szCs w:val="24"/>
                <w:highlight w:val="none"/>
                <w:lang w:val="en-US" w:eastAsia="zh-CN"/>
              </w:rPr>
              <w:t>0</w:t>
            </w:r>
            <w:r>
              <w:rPr>
                <w:rFonts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rPr>
              <w:t>3</w:t>
            </w:r>
            <w:r>
              <w:rPr>
                <w:rFonts w:ascii="Times New Roman" w:hAnsi="Times New Roman" w:eastAsia="仿宋" w:cs="Times New Roman"/>
                <w:sz w:val="24"/>
                <w:szCs w:val="24"/>
                <w:highlight w:val="none"/>
              </w:rPr>
              <w:t>5</w:t>
            </w: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ascii="Times New Roman" w:hAnsi="Times New Roman" w:eastAsia="仿宋" w:cs="Times New Roman"/>
                <w:sz w:val="24"/>
                <w:szCs w:val="24"/>
                <w:highlight w:val="none"/>
                <w:lang w:val="en-US"/>
              </w:rPr>
              <w:t>5</w:t>
            </w:r>
            <w:r>
              <w:rPr>
                <w:rFonts w:ascii="Times New Roman" w:hAnsi="Times New Roman" w:eastAsia="仿宋" w:cs="Times New Roman"/>
                <w:sz w:val="24"/>
                <w:szCs w:val="24"/>
                <w:highlight w:val="none"/>
              </w:rPr>
              <w:t>～</w:t>
            </w:r>
            <w:r>
              <w:rPr>
                <w:rFonts w:ascii="Times New Roman" w:hAnsi="Times New Roman" w:eastAsia="仿宋" w:cs="Times New Roman"/>
                <w:sz w:val="24"/>
                <w:szCs w:val="24"/>
                <w:highlight w:val="none"/>
                <w:lang w:val="en-US"/>
              </w:rPr>
              <w:t>20</w:t>
            </w: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hint="eastAsia" w:ascii="Times New Roman" w:hAnsi="Times New Roman" w:eastAsia="仿宋" w:cs="Times New Roman"/>
                <w:sz w:val="24"/>
                <w:szCs w:val="24"/>
                <w:highlight w:val="none"/>
                <w:lang w:val="en-US" w:eastAsia="zh-CN"/>
              </w:rPr>
              <w:t>10</w:t>
            </w:r>
            <w:r>
              <w:rPr>
                <w:rFonts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4</w:t>
            </w:r>
            <w:r>
              <w:rPr>
                <w:rFonts w:ascii="Times New Roman" w:hAnsi="Times New Roman" w:eastAsia="仿宋" w:cs="Times New Roman"/>
                <w:sz w:val="24"/>
                <w:szCs w:val="24"/>
                <w:highlight w:val="none"/>
                <w:lang w:val="en-US"/>
              </w:rPr>
              <w:t>0</w:t>
            </w:r>
          </w:p>
        </w:tc>
        <w:tc>
          <w:tcPr>
            <w:tcW w:w="905"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ascii="Times New Roman" w:hAnsi="Times New Roman" w:eastAsia="仿宋" w:cs="Times New Roman"/>
                <w:sz w:val="24"/>
                <w:szCs w:val="24"/>
                <w:highlight w:val="none"/>
                <w:lang w:val="en-US"/>
              </w:rPr>
              <w:t>10</w:t>
            </w:r>
            <w:r>
              <w:rPr>
                <w:rFonts w:ascii="Times New Roman" w:hAnsi="Times New Roman" w:eastAsia="仿宋" w:cs="Times New Roman"/>
                <w:sz w:val="24"/>
                <w:szCs w:val="24"/>
                <w:highlight w:val="none"/>
              </w:rPr>
              <w:t>～</w:t>
            </w:r>
            <w:r>
              <w:rPr>
                <w:rFonts w:ascii="Times New Roman" w:hAnsi="Times New Roman" w:eastAsia="仿宋" w:cs="Times New Roman"/>
                <w:sz w:val="24"/>
                <w:szCs w:val="24"/>
                <w:highlight w:val="none"/>
                <w:lang w:val="en-US"/>
              </w:rPr>
              <w:t>25</w:t>
            </w:r>
          </w:p>
        </w:tc>
        <w:tc>
          <w:tcPr>
            <w:tcW w:w="926"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hint="eastAsia" w:ascii="Times New Roman" w:hAnsi="Times New Roman" w:eastAsia="仿宋" w:cs="Times New Roman"/>
                <w:sz w:val="24"/>
                <w:szCs w:val="24"/>
                <w:highlight w:val="none"/>
                <w:lang w:val="en-US" w:eastAsia="zh-CN"/>
              </w:rPr>
              <w:t>15</w:t>
            </w:r>
            <w:r>
              <w:rPr>
                <w:rFonts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4</w:t>
            </w:r>
            <w:r>
              <w:rPr>
                <w:rFonts w:ascii="Times New Roman" w:hAnsi="Times New Roman" w:eastAsia="仿宋" w:cs="Times New Roman"/>
                <w:sz w:val="24"/>
                <w:szCs w:val="24"/>
                <w:highlight w:val="none"/>
                <w:lang w:val="en-US"/>
              </w:rPr>
              <w:t>0</w:t>
            </w:r>
          </w:p>
        </w:tc>
        <w:tc>
          <w:tcPr>
            <w:tcW w:w="104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hint="eastAsia" w:ascii="Times New Roman" w:hAnsi="Times New Roman" w:eastAsia="仿宋" w:cs="Times New Roman"/>
                <w:sz w:val="24"/>
                <w:szCs w:val="24"/>
                <w:highlight w:val="none"/>
                <w:lang w:val="en-US" w:eastAsia="zh-CN"/>
              </w:rPr>
              <w:t>7</w:t>
            </w:r>
            <w:r>
              <w:rPr>
                <w:rFonts w:ascii="Times New Roman" w:hAnsi="Times New Roman" w:eastAsia="仿宋" w:cs="Times New Roman"/>
                <w:sz w:val="24"/>
                <w:szCs w:val="24"/>
                <w:highlight w:val="none"/>
                <w:lang w:val="en-US"/>
              </w:rPr>
              <w:t>0</w:t>
            </w:r>
            <w:r>
              <w:rPr>
                <w:rFonts w:ascii="Times New Roman" w:hAnsi="Times New Roman" w:eastAsia="仿宋" w:cs="Times New Roman"/>
                <w:sz w:val="24"/>
                <w:szCs w:val="24"/>
                <w:highlight w:val="none"/>
              </w:rPr>
              <w:t>～2</w:t>
            </w:r>
            <w:r>
              <w:rPr>
                <w:rFonts w:hint="eastAsia" w:ascii="Times New Roman" w:hAnsi="Times New Roman" w:eastAsia="仿宋" w:cs="Times New Roman"/>
                <w:sz w:val="24"/>
                <w:szCs w:val="24"/>
                <w:highlight w:val="none"/>
                <w:lang w:val="en-US" w:eastAsia="zh-CN"/>
              </w:rPr>
              <w:t>1</w:t>
            </w:r>
            <w:r>
              <w:rPr>
                <w:rFonts w:ascii="Times New Roman" w:hAnsi="Times New Roman" w:eastAsia="仿宋" w:cs="Times New Roman"/>
                <w:sz w:val="24"/>
                <w:szCs w:val="24"/>
                <w:highlight w:val="none"/>
                <w:lang w:val="en-US"/>
              </w:rPr>
              <w:t>0</w:t>
            </w:r>
          </w:p>
        </w:tc>
      </w:tr>
    </w:tbl>
    <w:p>
      <w:pPr>
        <w:adjustRightInd w:val="0"/>
        <w:snapToGrid w:val="0"/>
        <w:spacing w:line="24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注：本表数据为每平方米土地的土地开发程度修正值。</w:t>
      </w:r>
    </w:p>
    <w:p>
      <w:pPr>
        <w:pStyle w:val="3"/>
        <w:keepNext w:val="0"/>
        <w:keepLines w:val="0"/>
        <w:pageBreakBefore w:val="0"/>
        <w:widowControl w:val="0"/>
        <w:numPr>
          <w:ilvl w:val="0"/>
          <w:numId w:val="0"/>
        </w:numPr>
        <w:tabs>
          <w:tab w:val="left" w:pos="4680"/>
        </w:tabs>
        <w:kinsoku/>
        <w:wordWrap/>
        <w:overflowPunct/>
        <w:topLinePunct w:val="0"/>
        <w:autoSpaceDE/>
        <w:autoSpaceDN/>
        <w:bidi w:val="0"/>
        <w:spacing w:before="0" w:after="0" w:line="560" w:lineRule="exact"/>
        <w:ind w:firstLine="640" w:firstLineChars="200"/>
        <w:textAlignment w:val="auto"/>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kern w:val="2"/>
          <w:sz w:val="32"/>
          <w:szCs w:val="32"/>
          <w:highlight w:val="none"/>
          <w:lang w:val="en-US" w:eastAsia="zh-CN" w:bidi="ar-SA"/>
        </w:rPr>
        <w:t>（三）</w:t>
      </w:r>
      <w:r>
        <w:rPr>
          <w:rFonts w:hint="eastAsia" w:ascii="楷体_GB2312" w:hAnsi="楷体_GB2312" w:eastAsia="楷体_GB2312" w:cs="楷体_GB2312"/>
          <w:b w:val="0"/>
          <w:bCs w:val="0"/>
          <w:iCs/>
          <w:color w:val="000000"/>
          <w:sz w:val="32"/>
          <w:szCs w:val="32"/>
          <w:highlight w:val="none"/>
          <w:lang w:val="en-US" w:eastAsia="zh-CN"/>
        </w:rPr>
        <w:t>集体工业用地</w:t>
      </w:r>
      <w:r>
        <w:rPr>
          <w:rFonts w:hint="eastAsia" w:ascii="楷体_GB2312" w:hAnsi="楷体_GB2312" w:eastAsia="楷体_GB2312" w:cs="楷体_GB2312"/>
          <w:b w:val="0"/>
          <w:bCs w:val="0"/>
          <w:highlight w:val="none"/>
        </w:rPr>
        <w:t>修正体系</w:t>
      </w:r>
    </w:p>
    <w:p>
      <w:pPr>
        <w:pStyle w:val="28"/>
        <w:keepNext w:val="0"/>
        <w:keepLines w:val="0"/>
        <w:pageBreakBefore w:val="0"/>
        <w:widowControl/>
        <w:numPr>
          <w:ilvl w:val="0"/>
          <w:numId w:val="4"/>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区域因素修正</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集体</w:t>
      </w:r>
      <w:r>
        <w:rPr>
          <w:rFonts w:hint="default" w:ascii="仿宋_GB2312" w:hAnsi="仿宋_GB2312" w:eastAsia="仿宋_GB2312" w:cs="仿宋_GB2312"/>
          <w:b w:val="0"/>
          <w:bCs w:val="0"/>
          <w:color w:val="auto"/>
          <w:kern w:val="28"/>
          <w:sz w:val="32"/>
          <w:szCs w:val="32"/>
          <w:highlight w:val="none"/>
          <w:lang w:val="en-US" w:eastAsia="zh-CN"/>
        </w:rPr>
        <w:t>工业用地区域因素修正系数表（一级）</w:t>
      </w:r>
    </w:p>
    <w:tbl>
      <w:tblPr>
        <w:tblStyle w:val="15"/>
        <w:tblW w:w="8931" w:type="dxa"/>
        <w:jc w:val="center"/>
        <w:tblLayout w:type="autofit"/>
        <w:tblCellMar>
          <w:top w:w="0" w:type="dxa"/>
          <w:left w:w="108" w:type="dxa"/>
          <w:bottom w:w="0" w:type="dxa"/>
          <w:right w:w="108" w:type="dxa"/>
        </w:tblCellMar>
      </w:tblPr>
      <w:tblGrid>
        <w:gridCol w:w="1224"/>
        <w:gridCol w:w="1541"/>
        <w:gridCol w:w="1541"/>
        <w:gridCol w:w="1541"/>
        <w:gridCol w:w="1541"/>
        <w:gridCol w:w="1543"/>
      </w:tblGrid>
      <w:tr>
        <w:tblPrEx>
          <w:tblCellMar>
            <w:top w:w="0" w:type="dxa"/>
            <w:left w:w="108" w:type="dxa"/>
            <w:bottom w:w="0" w:type="dxa"/>
            <w:right w:w="108" w:type="dxa"/>
          </w:tblCellMar>
        </w:tblPrEx>
        <w:trPr>
          <w:trHeight w:val="340" w:hRule="atLeast"/>
          <w:tblHeader/>
          <w:jc w:val="center"/>
        </w:trPr>
        <w:tc>
          <w:tcPr>
            <w:tcW w:w="1224"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pStyle w:val="32"/>
              <w:spacing w:line="240" w:lineRule="auto"/>
              <w:jc w:val="right"/>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优劣度</w:t>
            </w:r>
          </w:p>
          <w:p>
            <w:pPr>
              <w:pStyle w:val="32"/>
              <w:spacing w:line="24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因素</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w:t>
            </w:r>
          </w:p>
        </w:tc>
        <w:tc>
          <w:tcPr>
            <w:tcW w:w="1541"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较优</w:t>
            </w:r>
          </w:p>
        </w:tc>
        <w:tc>
          <w:tcPr>
            <w:tcW w:w="1541"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一般</w:t>
            </w:r>
          </w:p>
        </w:tc>
        <w:tc>
          <w:tcPr>
            <w:tcW w:w="1541"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较劣</w:t>
            </w:r>
          </w:p>
        </w:tc>
        <w:tc>
          <w:tcPr>
            <w:tcW w:w="1543"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劣</w:t>
            </w:r>
          </w:p>
        </w:tc>
      </w:tr>
      <w:tr>
        <w:tblPrEx>
          <w:tblCellMar>
            <w:top w:w="0" w:type="dxa"/>
            <w:left w:w="108" w:type="dxa"/>
            <w:bottom w:w="0" w:type="dxa"/>
            <w:right w:w="108" w:type="dxa"/>
          </w:tblCellMar>
        </w:tblPrEx>
        <w:trPr>
          <w:trHeight w:val="340" w:hRule="atLeast"/>
          <w:jc w:val="center"/>
        </w:trPr>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交通条件</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道路通达度高，距汽车站、货运站、高速公路出入口近，对外交通便利</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道路通达度较高，距汽车站、货运站、高速公路出入口较近，对外交通较便利</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道路通达度一般，距汽车站、货运站、高速公路出入口一般，对外交通一般</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道路通达度较低，距汽车站、货运站、高速公路出入口较远，对外交通较差</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道路通达度低，距汽车站、货运站、高速公路出入口远，对外交通差</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4.82%</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2.41%</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-2.57%</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-5.14%</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基本设施状况</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市政供水，供电保证率高，排水状况好</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市政供水，供电保证率较高，排水状况较好</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市政供水，供电保证率一般，排水状况一般</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市政供水，供电保证率较低，排水状况较差</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市政供水，供电保证率低，排水状况差</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3.60%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1.80%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-1.92%</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-3.84%</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产业聚集效应</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产业集聚度高</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产业集聚度较高</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产业集聚度一般</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产业集聚度较低</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产业集聚度低</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2.90%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1.45%</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-1.54%</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-3.09%</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社会经济状况</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区域人均收入、人口密度、经济产值高</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区域人均收入、人口密度、经济产值较高</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区域人均收入、人口密度、经济产值一般</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区域人均收入、人口密度、经济产值较低</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区域人均收入、人口密度、经济产值低</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1.94%</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0.97%</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-1.03%</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-2.07%</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环境条件</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地形平坦、距离灾害风险点远</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地形较平坦、距离灾害风险点较远</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地形基本平坦，有一定起伏、距离灾害风险点较远</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地形有一定坡度、距离灾害风险点较近</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地形坡度较大、距离灾害风险点近</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2.45%</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1.22%</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-1.31%</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-2.61%</w:t>
            </w:r>
          </w:p>
        </w:tc>
      </w:tr>
      <w:tr>
        <w:tblPrEx>
          <w:tblCellMar>
            <w:top w:w="0" w:type="dxa"/>
            <w:left w:w="108" w:type="dxa"/>
            <w:bottom w:w="0" w:type="dxa"/>
            <w:right w:w="108" w:type="dxa"/>
          </w:tblCellMar>
        </w:tblPrEx>
        <w:trPr>
          <w:trHeight w:val="340" w:hRule="atLeast"/>
          <w:jc w:val="center"/>
        </w:trPr>
        <w:tc>
          <w:tcPr>
            <w:tcW w:w="1224" w:type="dxa"/>
            <w:tcBorders>
              <w:top w:val="single" w:color="auto" w:sz="4" w:space="0"/>
              <w:left w:val="single" w:color="auto" w:sz="4" w:space="0"/>
              <w:bottom w:val="single" w:color="auto" w:sz="4" w:space="0"/>
              <w:right w:val="nil"/>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宏观区位影响度</w:t>
            </w:r>
          </w:p>
        </w:tc>
        <w:tc>
          <w:tcPr>
            <w:tcW w:w="154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距周边中心城镇近，区域受其影响高</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距周边中心城镇较近，区域受其影响较高</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距周边中心城镇有一定距离，区域受其影响一般</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距周边中心城镇较远，区域受其影响较低</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周边中心城镇远，区域受其影响低</w:t>
            </w:r>
          </w:p>
        </w:tc>
      </w:tr>
      <w:tr>
        <w:tblPrEx>
          <w:tblCellMar>
            <w:top w:w="0" w:type="dxa"/>
            <w:left w:w="108" w:type="dxa"/>
            <w:bottom w:w="0" w:type="dxa"/>
            <w:right w:w="108" w:type="dxa"/>
          </w:tblCellMar>
        </w:tblPrEx>
        <w:trPr>
          <w:trHeight w:val="340" w:hRule="atLeast"/>
          <w:jc w:val="center"/>
        </w:trPr>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1.78%</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0.89%</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-0.95%</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-1.89%</w:t>
            </w:r>
          </w:p>
        </w:tc>
      </w:tr>
      <w:tr>
        <w:tblPrEx>
          <w:tblCellMar>
            <w:top w:w="0" w:type="dxa"/>
            <w:left w:w="108" w:type="dxa"/>
            <w:bottom w:w="0" w:type="dxa"/>
            <w:right w:w="108" w:type="dxa"/>
          </w:tblCellMar>
        </w:tblPrEx>
        <w:trPr>
          <w:trHeight w:val="340" w:hRule="atLeast"/>
          <w:jc w:val="center"/>
        </w:trPr>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区域规划</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规划前景好</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规划前景较好</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规划前景一般</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规划前景较差</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规划前景差</w:t>
            </w:r>
          </w:p>
        </w:tc>
      </w:tr>
      <w:tr>
        <w:tblPrEx>
          <w:tblCellMar>
            <w:top w:w="0" w:type="dxa"/>
            <w:left w:w="108" w:type="dxa"/>
            <w:bottom w:w="0" w:type="dxa"/>
            <w:right w:w="108" w:type="dxa"/>
          </w:tblCellMar>
        </w:tblPrEx>
        <w:trPr>
          <w:trHeight w:val="340" w:hRule="atLeast"/>
          <w:jc w:val="center"/>
        </w:trPr>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修正系数</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1.51%</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0.75%</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0.00%</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-0.80%</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-1.61%</w:t>
            </w:r>
          </w:p>
        </w:tc>
      </w:tr>
    </w:tbl>
    <w:p>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00" w:lineRule="exact"/>
        <w:ind w:leftChars="0"/>
        <w:jc w:val="both"/>
        <w:textAlignment w:val="auto"/>
        <w:rPr>
          <w:rFonts w:hint="default" w:ascii="仿宋_GB2312" w:hAnsi="仿宋_GB2312" w:eastAsia="仿宋_GB2312" w:cs="仿宋_GB2312"/>
          <w:b w:val="0"/>
          <w:bCs w:val="0"/>
          <w:color w:val="auto"/>
          <w:kern w:val="28"/>
          <w:sz w:val="32"/>
          <w:szCs w:val="32"/>
          <w:highlight w:val="none"/>
          <w:lang w:val="en-US" w:eastAsia="zh-CN"/>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集体</w:t>
      </w:r>
      <w:r>
        <w:rPr>
          <w:rFonts w:hint="default" w:ascii="仿宋_GB2312" w:hAnsi="仿宋_GB2312" w:eastAsia="仿宋_GB2312" w:cs="仿宋_GB2312"/>
          <w:b w:val="0"/>
          <w:bCs w:val="0"/>
          <w:color w:val="auto"/>
          <w:kern w:val="28"/>
          <w:sz w:val="32"/>
          <w:szCs w:val="32"/>
          <w:highlight w:val="none"/>
          <w:lang w:val="en-US" w:eastAsia="zh-CN"/>
        </w:rPr>
        <w:t>工业用地区域因素修正系数表（二级）</w:t>
      </w:r>
    </w:p>
    <w:tbl>
      <w:tblPr>
        <w:tblStyle w:val="15"/>
        <w:tblW w:w="8931" w:type="dxa"/>
        <w:jc w:val="center"/>
        <w:tblLayout w:type="fixed"/>
        <w:tblCellMar>
          <w:top w:w="0" w:type="dxa"/>
          <w:left w:w="108" w:type="dxa"/>
          <w:bottom w:w="0" w:type="dxa"/>
          <w:right w:w="108" w:type="dxa"/>
        </w:tblCellMar>
      </w:tblPr>
      <w:tblGrid>
        <w:gridCol w:w="1224"/>
        <w:gridCol w:w="1541"/>
        <w:gridCol w:w="1541"/>
        <w:gridCol w:w="1541"/>
        <w:gridCol w:w="1541"/>
        <w:gridCol w:w="1543"/>
      </w:tblGrid>
      <w:tr>
        <w:tblPrEx>
          <w:tblCellMar>
            <w:top w:w="0" w:type="dxa"/>
            <w:left w:w="108" w:type="dxa"/>
            <w:bottom w:w="0" w:type="dxa"/>
            <w:right w:w="108" w:type="dxa"/>
          </w:tblCellMar>
        </w:tblPrEx>
        <w:trPr>
          <w:trHeight w:val="340" w:hRule="atLeast"/>
          <w:tblHeader/>
          <w:jc w:val="center"/>
        </w:trPr>
        <w:tc>
          <w:tcPr>
            <w:tcW w:w="1224"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pStyle w:val="32"/>
              <w:spacing w:line="240" w:lineRule="auto"/>
              <w:jc w:val="right"/>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优劣度</w:t>
            </w:r>
          </w:p>
          <w:p>
            <w:pPr>
              <w:pStyle w:val="32"/>
              <w:spacing w:line="24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因素</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w:t>
            </w:r>
          </w:p>
        </w:tc>
        <w:tc>
          <w:tcPr>
            <w:tcW w:w="1541"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较优</w:t>
            </w:r>
          </w:p>
        </w:tc>
        <w:tc>
          <w:tcPr>
            <w:tcW w:w="1541"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一般</w:t>
            </w:r>
          </w:p>
        </w:tc>
        <w:tc>
          <w:tcPr>
            <w:tcW w:w="1541"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较劣</w:t>
            </w:r>
          </w:p>
        </w:tc>
        <w:tc>
          <w:tcPr>
            <w:tcW w:w="1543"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劣</w:t>
            </w:r>
          </w:p>
        </w:tc>
      </w:tr>
      <w:tr>
        <w:tblPrEx>
          <w:tblCellMar>
            <w:top w:w="0" w:type="dxa"/>
            <w:left w:w="108" w:type="dxa"/>
            <w:bottom w:w="0" w:type="dxa"/>
            <w:right w:w="108" w:type="dxa"/>
          </w:tblCellMar>
        </w:tblPrEx>
        <w:trPr>
          <w:trHeight w:val="340" w:hRule="atLeast"/>
          <w:jc w:val="center"/>
        </w:trPr>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交通条件</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道路通达度高，距汽车站、货运站、高速公路出入口近，对外交通便利</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道路通达度较高，距汽车站、货运站、高速公路出入口较近，对外交通较便利</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道路通达度一般，距汽车站、货运站、高速公路出入口一般，对外交通一般</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道路通达度较低，距汽车站、货运站、高速公路出入口较远，对外交通较差</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道路通达度低，距汽车站、货运站、高速公路出入口远，对外交通差</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3.87%</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1.94%</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-2.37%</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-4.74%</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基本设施状况</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市政供水，供电保证率高，排水状况好</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市政供水，供电保证率较高，排水状况较好</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市政供水，供电保证率一般，排水状况一般</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市政供水，供电保证率较低，排水状况较差</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市政供水，供电保证率低，排水状况差</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2.89%</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1.45%</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-1.77%</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-3.54%</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产业聚集效应</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产业集聚度高</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产业集聚度较高</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产业集聚度一般</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产业集聚度较低</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产业集聚度低</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2.33%</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1.16%</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-1.42%</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-2.84%</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社会经济状况</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区域人均收入、人口密度、经济产值高</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区域人均收入、人口密度、经济产值较高</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区域人均收入、人口密度、经济产值一般</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区域人均收入、人口密度、经济产值较低</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区域人均收入、人口密度、经济产值低</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1.56%</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0.78%</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-0.95%</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-1.90%</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环境条件</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地形平坦、距离灾害风险点远</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地形较平坦、距离灾害风险点较远</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地形基本平坦，有一定起伏、距离灾害风险点较远</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地形有一定坡度、距离灾害风险点较近</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地形坡度较大、距离灾害风险点近</w:t>
            </w:r>
          </w:p>
        </w:tc>
      </w:tr>
      <w:tr>
        <w:tblPrEx>
          <w:tblCellMar>
            <w:top w:w="0" w:type="dxa"/>
            <w:left w:w="108" w:type="dxa"/>
            <w:bottom w:w="0" w:type="dxa"/>
            <w:right w:w="108" w:type="dxa"/>
          </w:tblCellMar>
        </w:tblPrEx>
        <w:trPr>
          <w:trHeight w:val="340" w:hRule="atLeast"/>
          <w:jc w:val="center"/>
        </w:trPr>
        <w:tc>
          <w:tcPr>
            <w:tcW w:w="122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1.97%</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0.98%</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-1.20%</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-2.40%</w:t>
            </w:r>
          </w:p>
        </w:tc>
      </w:tr>
      <w:tr>
        <w:tblPrEx>
          <w:tblCellMar>
            <w:top w:w="0" w:type="dxa"/>
            <w:left w:w="108" w:type="dxa"/>
            <w:bottom w:w="0" w:type="dxa"/>
            <w:right w:w="108" w:type="dxa"/>
          </w:tblCellMar>
        </w:tblPrEx>
        <w:trPr>
          <w:trHeight w:val="340" w:hRule="atLeast"/>
          <w:jc w:val="center"/>
        </w:trPr>
        <w:tc>
          <w:tcPr>
            <w:tcW w:w="1224" w:type="dxa"/>
            <w:tcBorders>
              <w:top w:val="single" w:color="auto" w:sz="4" w:space="0"/>
              <w:left w:val="single" w:color="auto" w:sz="4" w:space="0"/>
              <w:bottom w:val="single" w:color="auto" w:sz="4" w:space="0"/>
              <w:right w:val="nil"/>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宏观区位影响度</w:t>
            </w:r>
          </w:p>
        </w:tc>
        <w:tc>
          <w:tcPr>
            <w:tcW w:w="154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距周边中心城镇近，区域受其影响高</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距周边中心城镇较近，区域受其影响较高</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距周边中心城镇有一定距离，区域受其影响一般</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距周边中心城镇较远，区域受其影响较低</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周边中心城镇远，区域受其影响低</w:t>
            </w:r>
          </w:p>
        </w:tc>
      </w:tr>
      <w:tr>
        <w:tblPrEx>
          <w:tblCellMar>
            <w:top w:w="0" w:type="dxa"/>
            <w:left w:w="108" w:type="dxa"/>
            <w:bottom w:w="0" w:type="dxa"/>
            <w:right w:w="108" w:type="dxa"/>
          </w:tblCellMar>
        </w:tblPrEx>
        <w:trPr>
          <w:trHeight w:val="340" w:hRule="atLeast"/>
          <w:jc w:val="center"/>
        </w:trPr>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1.43%</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0.71%</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-0.87%</w:t>
            </w:r>
          </w:p>
        </w:tc>
        <w:tc>
          <w:tcPr>
            <w:tcW w:w="1543"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-1.74%</w:t>
            </w:r>
          </w:p>
        </w:tc>
      </w:tr>
      <w:tr>
        <w:tblPrEx>
          <w:tblCellMar>
            <w:top w:w="0" w:type="dxa"/>
            <w:left w:w="108" w:type="dxa"/>
            <w:bottom w:w="0" w:type="dxa"/>
            <w:right w:w="108" w:type="dxa"/>
          </w:tblCellMar>
        </w:tblPrEx>
        <w:trPr>
          <w:trHeight w:val="340" w:hRule="atLeast"/>
          <w:jc w:val="center"/>
        </w:trPr>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区域规划</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规划前景好</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规划前景较好</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规划前景一般</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规划前景较差</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规划前景差</w:t>
            </w:r>
          </w:p>
        </w:tc>
      </w:tr>
      <w:tr>
        <w:tblPrEx>
          <w:tblCellMar>
            <w:top w:w="0" w:type="dxa"/>
            <w:left w:w="108" w:type="dxa"/>
            <w:bottom w:w="0" w:type="dxa"/>
            <w:right w:w="108" w:type="dxa"/>
          </w:tblCellMar>
        </w:tblPrEx>
        <w:trPr>
          <w:trHeight w:val="340" w:hRule="atLeast"/>
          <w:jc w:val="center"/>
        </w:trPr>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修正系数</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1.21%</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0.60%</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0.00%</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-0.74%</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-1.48%</w:t>
            </w:r>
          </w:p>
        </w:tc>
      </w:tr>
    </w:tbl>
    <w:p>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集体</w:t>
      </w:r>
      <w:r>
        <w:rPr>
          <w:rFonts w:hint="default" w:ascii="仿宋_GB2312" w:hAnsi="仿宋_GB2312" w:eastAsia="仿宋_GB2312" w:cs="仿宋_GB2312"/>
          <w:b w:val="0"/>
          <w:bCs w:val="0"/>
          <w:color w:val="auto"/>
          <w:kern w:val="28"/>
          <w:sz w:val="32"/>
          <w:szCs w:val="32"/>
          <w:highlight w:val="none"/>
          <w:lang w:val="en-US" w:eastAsia="zh-CN"/>
        </w:rPr>
        <w:t>工业用地区域因素修正系数表（三级）</w:t>
      </w:r>
    </w:p>
    <w:tbl>
      <w:tblPr>
        <w:tblStyle w:val="15"/>
        <w:tblW w:w="8931" w:type="dxa"/>
        <w:jc w:val="center"/>
        <w:tblLayout w:type="autofit"/>
        <w:tblCellMar>
          <w:top w:w="0" w:type="dxa"/>
          <w:left w:w="108" w:type="dxa"/>
          <w:bottom w:w="0" w:type="dxa"/>
          <w:right w:w="108" w:type="dxa"/>
        </w:tblCellMar>
      </w:tblPr>
      <w:tblGrid>
        <w:gridCol w:w="1208"/>
        <w:gridCol w:w="1544"/>
        <w:gridCol w:w="1544"/>
        <w:gridCol w:w="1544"/>
        <w:gridCol w:w="1544"/>
        <w:gridCol w:w="1547"/>
      </w:tblGrid>
      <w:tr>
        <w:tblPrEx>
          <w:tblCellMar>
            <w:top w:w="0" w:type="dxa"/>
            <w:left w:w="108" w:type="dxa"/>
            <w:bottom w:w="0" w:type="dxa"/>
            <w:right w:w="108" w:type="dxa"/>
          </w:tblCellMar>
        </w:tblPrEx>
        <w:trPr>
          <w:trHeight w:val="340" w:hRule="atLeast"/>
          <w:tblHeader/>
          <w:jc w:val="center"/>
        </w:trPr>
        <w:tc>
          <w:tcPr>
            <w:tcW w:w="1208"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pStyle w:val="32"/>
              <w:spacing w:line="240" w:lineRule="auto"/>
              <w:jc w:val="right"/>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优劣度</w:t>
            </w:r>
          </w:p>
          <w:p>
            <w:pPr>
              <w:pStyle w:val="32"/>
              <w:spacing w:line="24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因素</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w:t>
            </w:r>
          </w:p>
        </w:tc>
        <w:tc>
          <w:tcPr>
            <w:tcW w:w="1544"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较优</w:t>
            </w:r>
          </w:p>
        </w:tc>
        <w:tc>
          <w:tcPr>
            <w:tcW w:w="1544"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一般</w:t>
            </w:r>
          </w:p>
        </w:tc>
        <w:tc>
          <w:tcPr>
            <w:tcW w:w="1544"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较劣</w:t>
            </w:r>
          </w:p>
        </w:tc>
        <w:tc>
          <w:tcPr>
            <w:tcW w:w="1547"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劣</w:t>
            </w:r>
          </w:p>
        </w:tc>
      </w:tr>
      <w:tr>
        <w:tblPrEx>
          <w:tblCellMar>
            <w:top w:w="0" w:type="dxa"/>
            <w:left w:w="108" w:type="dxa"/>
            <w:bottom w:w="0" w:type="dxa"/>
            <w:right w:w="108" w:type="dxa"/>
          </w:tblCellMar>
        </w:tblPrEx>
        <w:trPr>
          <w:trHeight w:val="340"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交通条件</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道路通达度高，距汽车站、货运站、高速公路出入口近，对外交通便利</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道路通达度较高，距汽车站、货运站、高速公路出入口较近，对外交通较便利</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道路通达度一般，距汽车站、货运站、高速公路出入口一般，对外交通一般</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道路通达度较低，距汽车站、货运站、高速公路出入口较远，对外交通较差</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道路通达度低，距汽车站、货运站、高速公路出入口远，对外交通差</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4.15%</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2.07%</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-2.33%</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-4.67%</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基本设施状况</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市政供水，供电保证率高，排水状况好</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市政供水，供电保证率较高，排水状况较好</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市政供水，供电保证率一般，排水状况一般</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市政供水，供电保证率较低，排水状况较差</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市政供水，供电保证率低，排水状况差</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3.10%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1.55%</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-1.74%</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-3.48%</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产业聚集效应</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产业集聚度高</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产业集聚度较高</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产业集聚度一般</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产业集聚度较低</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产业集聚度低</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2.49%</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1.24%</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-1.40%</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-2.80%</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社会经济状况</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区域人均收入、人口密度、经济产值高</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区域人均收入、人口密度、经济产值较高</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区域人均收入、人口密度、经济产值一般</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区域人均收入、人口密度、经济产值较低</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区域人均收入、人口密度、经济产值低</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1.67%</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0.83%</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-0.94%</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-1.88%</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环境条件</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地形平坦、距离灾害风险点远</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地形较平坦、距离灾害风险点较远</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地形基本平坦，有一定起伏、距离灾害风险点较远</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地形有一定坡度、距离灾害风险点较近</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地形坡度较大、距离灾害风险点近</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2.10%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1.05%</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-1.18%</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-2.37%</w:t>
            </w:r>
          </w:p>
        </w:tc>
      </w:tr>
      <w:tr>
        <w:tblPrEx>
          <w:tblCellMar>
            <w:top w:w="0" w:type="dxa"/>
            <w:left w:w="108" w:type="dxa"/>
            <w:bottom w:w="0" w:type="dxa"/>
            <w:right w:w="108" w:type="dxa"/>
          </w:tblCellMar>
        </w:tblPrEx>
        <w:trPr>
          <w:trHeight w:val="340" w:hRule="atLeast"/>
          <w:jc w:val="center"/>
        </w:trPr>
        <w:tc>
          <w:tcPr>
            <w:tcW w:w="1208" w:type="dxa"/>
            <w:tcBorders>
              <w:top w:val="single" w:color="auto" w:sz="4" w:space="0"/>
              <w:left w:val="single" w:color="auto" w:sz="4" w:space="0"/>
              <w:bottom w:val="single" w:color="auto" w:sz="4" w:space="0"/>
              <w:right w:val="nil"/>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宏观区位影响度</w:t>
            </w:r>
          </w:p>
        </w:tc>
        <w:tc>
          <w:tcPr>
            <w:tcW w:w="154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距周边中心城镇近，区域受其影响高</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距周边中心城镇较近，区域受其影响较高</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距周边中心城镇有一定距离，区域受其影响一般</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距周边中心城镇较远，区域受其影响较低</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周边中心城镇远，区域受其影响低</w:t>
            </w:r>
          </w:p>
        </w:tc>
      </w:tr>
      <w:tr>
        <w:tblPrEx>
          <w:tblCellMar>
            <w:top w:w="0" w:type="dxa"/>
            <w:left w:w="108" w:type="dxa"/>
            <w:bottom w:w="0" w:type="dxa"/>
            <w:right w:w="108" w:type="dxa"/>
          </w:tblCellMar>
        </w:tblPrEx>
        <w:trPr>
          <w:trHeight w:val="340"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1.53%</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0.76%</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-0.86%</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-1.72%</w:t>
            </w:r>
          </w:p>
        </w:tc>
      </w:tr>
      <w:tr>
        <w:tblPrEx>
          <w:tblCellMar>
            <w:top w:w="0" w:type="dxa"/>
            <w:left w:w="108" w:type="dxa"/>
            <w:bottom w:w="0" w:type="dxa"/>
            <w:right w:w="108" w:type="dxa"/>
          </w:tblCellMar>
        </w:tblPrEx>
        <w:trPr>
          <w:trHeight w:val="340"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区域规划</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规划前景好</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规划前景较好</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规划前景较差</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规划前景差</w:t>
            </w:r>
          </w:p>
        </w:tc>
      </w:tr>
      <w:tr>
        <w:tblPrEx>
          <w:tblCellMar>
            <w:top w:w="0" w:type="dxa"/>
            <w:left w:w="108" w:type="dxa"/>
            <w:bottom w:w="0" w:type="dxa"/>
            <w:right w:w="108" w:type="dxa"/>
          </w:tblCellMar>
        </w:tblPrEx>
        <w:trPr>
          <w:trHeight w:val="340"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修正系数</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1.29%</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0.65%</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0.00%</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-0.73%</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-1.46%</w:t>
            </w:r>
          </w:p>
        </w:tc>
      </w:tr>
    </w:tbl>
    <w:p>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集体</w:t>
      </w:r>
      <w:r>
        <w:rPr>
          <w:rFonts w:hint="default" w:ascii="仿宋_GB2312" w:hAnsi="仿宋_GB2312" w:eastAsia="仿宋_GB2312" w:cs="仿宋_GB2312"/>
          <w:b w:val="0"/>
          <w:bCs w:val="0"/>
          <w:color w:val="auto"/>
          <w:kern w:val="28"/>
          <w:sz w:val="32"/>
          <w:szCs w:val="32"/>
          <w:highlight w:val="none"/>
          <w:lang w:val="en-US" w:eastAsia="zh-CN"/>
        </w:rPr>
        <w:t>工业用地区域因素修正系数表（四级）</w:t>
      </w:r>
    </w:p>
    <w:tbl>
      <w:tblPr>
        <w:tblStyle w:val="15"/>
        <w:tblW w:w="8931" w:type="dxa"/>
        <w:jc w:val="center"/>
        <w:tblLayout w:type="autofit"/>
        <w:tblCellMar>
          <w:top w:w="0" w:type="dxa"/>
          <w:left w:w="108" w:type="dxa"/>
          <w:bottom w:w="0" w:type="dxa"/>
          <w:right w:w="108" w:type="dxa"/>
        </w:tblCellMar>
      </w:tblPr>
      <w:tblGrid>
        <w:gridCol w:w="1208"/>
        <w:gridCol w:w="1544"/>
        <w:gridCol w:w="1544"/>
        <w:gridCol w:w="1544"/>
        <w:gridCol w:w="1544"/>
        <w:gridCol w:w="1547"/>
      </w:tblGrid>
      <w:tr>
        <w:tblPrEx>
          <w:tblCellMar>
            <w:top w:w="0" w:type="dxa"/>
            <w:left w:w="108" w:type="dxa"/>
            <w:bottom w:w="0" w:type="dxa"/>
            <w:right w:w="108" w:type="dxa"/>
          </w:tblCellMar>
        </w:tblPrEx>
        <w:trPr>
          <w:trHeight w:val="340" w:hRule="atLeast"/>
          <w:tblHeader/>
          <w:jc w:val="center"/>
        </w:trPr>
        <w:tc>
          <w:tcPr>
            <w:tcW w:w="1208"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pStyle w:val="32"/>
              <w:spacing w:line="240" w:lineRule="auto"/>
              <w:jc w:val="right"/>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优劣度</w:t>
            </w:r>
          </w:p>
          <w:p>
            <w:pPr>
              <w:pStyle w:val="32"/>
              <w:spacing w:line="24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因素</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w:t>
            </w:r>
          </w:p>
        </w:tc>
        <w:tc>
          <w:tcPr>
            <w:tcW w:w="1544"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较优</w:t>
            </w:r>
          </w:p>
        </w:tc>
        <w:tc>
          <w:tcPr>
            <w:tcW w:w="1544"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一般</w:t>
            </w:r>
          </w:p>
        </w:tc>
        <w:tc>
          <w:tcPr>
            <w:tcW w:w="1544"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较劣</w:t>
            </w:r>
          </w:p>
        </w:tc>
        <w:tc>
          <w:tcPr>
            <w:tcW w:w="1547"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劣</w:t>
            </w:r>
          </w:p>
        </w:tc>
      </w:tr>
      <w:tr>
        <w:tblPrEx>
          <w:tblCellMar>
            <w:top w:w="0" w:type="dxa"/>
            <w:left w:w="108" w:type="dxa"/>
            <w:bottom w:w="0" w:type="dxa"/>
            <w:right w:w="108" w:type="dxa"/>
          </w:tblCellMar>
        </w:tblPrEx>
        <w:trPr>
          <w:trHeight w:val="340"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交通条件</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道路通达度高，距汽车站、货运站、高速公路出入口近，对外交通便利</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道路通达度较高，距汽车站、货运站、高速公路出入口较近，对外交通较便利</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道路通达度一般，距汽车站、货运站、高速公路出入口一般，对外交通一般</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道路通达度较低，距汽车站、货运站、高速公路出入口较远，对外交通较差</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道路通达度低，距汽车站、货运站、高速公路出入口远，对外交通差</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3.90%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1.95%</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-2.07%</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-4.13%</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基本设施状况</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市政供水，供电保证率高，排水状况好</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市政供水，供电保证率较高，排水状况较好</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市政供水，供电保证率一般，排水状况一般</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市政供水，供电保证率较低，排水状况较差</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市政供水，供电保证率低，排水状况差</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2.91%</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1.46%</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-1.54%</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-3.09%</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产业聚集效应</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产业集聚度高</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产业集聚度较高</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产业集聚度一般</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产业集聚度较低</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产业集聚度低</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2.34%</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1.17%</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-1.24%</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-2.48%</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社会经济状况</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区域人均收入、人口密度、经济产值高</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区域人均收入、人口密度、经济产值较高</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区域人均收入、人口密度、经济产值一般</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区域人均收入、人口密度、经济产值较低</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区域人均收入、人口密度、经济产值低</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1.57%</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0.78%</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-0.83%</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-1.66%</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环境条件</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地形平坦、距离灾害风险点远</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地形较平坦、距离灾害风险点较远</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地形基本平坦，有一定起伏、距离灾害风险点较远</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地形有一定坡度、距离灾害风险点较近</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地形坡度较大、距离灾害风险点近</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1.98%</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0.99%</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-1.05%</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-2.10%</w:t>
            </w:r>
          </w:p>
        </w:tc>
      </w:tr>
      <w:tr>
        <w:tblPrEx>
          <w:tblCellMar>
            <w:top w:w="0" w:type="dxa"/>
            <w:left w:w="108" w:type="dxa"/>
            <w:bottom w:w="0" w:type="dxa"/>
            <w:right w:w="108" w:type="dxa"/>
          </w:tblCellMar>
        </w:tblPrEx>
        <w:trPr>
          <w:trHeight w:val="340" w:hRule="atLeast"/>
          <w:jc w:val="center"/>
        </w:trPr>
        <w:tc>
          <w:tcPr>
            <w:tcW w:w="1208" w:type="dxa"/>
            <w:tcBorders>
              <w:top w:val="single" w:color="auto" w:sz="4" w:space="0"/>
              <w:left w:val="single" w:color="auto" w:sz="4" w:space="0"/>
              <w:bottom w:val="single" w:color="auto" w:sz="4" w:space="0"/>
              <w:right w:val="nil"/>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宏观区位影响度</w:t>
            </w:r>
          </w:p>
        </w:tc>
        <w:tc>
          <w:tcPr>
            <w:tcW w:w="154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距周边中心城镇近，区域受其影响高</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距周边中心城镇较近，区域受其影响较高</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距周边中心城镇有一定距离，区域受其影响一般</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距周边中心城镇较远，区域受其影响较低</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周边中心城镇远，区域受其影响低</w:t>
            </w:r>
          </w:p>
        </w:tc>
      </w:tr>
      <w:tr>
        <w:tblPrEx>
          <w:tblCellMar>
            <w:top w:w="0" w:type="dxa"/>
            <w:left w:w="108" w:type="dxa"/>
            <w:bottom w:w="0" w:type="dxa"/>
            <w:right w:w="108" w:type="dxa"/>
          </w:tblCellMar>
        </w:tblPrEx>
        <w:trPr>
          <w:trHeight w:val="340"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1.44%</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0.72%</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-0.76%</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-1.52%</w:t>
            </w:r>
          </w:p>
        </w:tc>
      </w:tr>
      <w:tr>
        <w:tblPrEx>
          <w:tblCellMar>
            <w:top w:w="0" w:type="dxa"/>
            <w:left w:w="108" w:type="dxa"/>
            <w:bottom w:w="0" w:type="dxa"/>
            <w:right w:w="108" w:type="dxa"/>
          </w:tblCellMar>
        </w:tblPrEx>
        <w:trPr>
          <w:trHeight w:val="340"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区域规划</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规划前景好</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规划前景较好</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规划前景较差</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规划前景差</w:t>
            </w:r>
          </w:p>
        </w:tc>
      </w:tr>
      <w:tr>
        <w:tblPrEx>
          <w:tblCellMar>
            <w:top w:w="0" w:type="dxa"/>
            <w:left w:w="108" w:type="dxa"/>
            <w:bottom w:w="0" w:type="dxa"/>
            <w:right w:w="108" w:type="dxa"/>
          </w:tblCellMar>
        </w:tblPrEx>
        <w:trPr>
          <w:trHeight w:val="340"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修正系数</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1.22%</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0.61%</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0.00%</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-0.65%</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-1.29%</w:t>
            </w:r>
          </w:p>
        </w:tc>
      </w:tr>
    </w:tbl>
    <w:p>
      <w:pPr>
        <w:keepNext w:val="0"/>
        <w:keepLines w:val="0"/>
        <w:pageBreakBefore w:val="0"/>
        <w:widowControl w:val="0"/>
        <w:kinsoku/>
        <w:wordWrap/>
        <w:overflowPunct/>
        <w:topLinePunct w:val="0"/>
        <w:autoSpaceDE w:val="0"/>
        <w:autoSpaceDN w:val="0"/>
        <w:bidi w:val="0"/>
        <w:adjustRightInd/>
        <w:snapToGrid/>
        <w:spacing w:line="60" w:lineRule="exact"/>
        <w:textAlignment w:val="auto"/>
        <w:rPr>
          <w:rFonts w:hint="default" w:ascii="Times New Roman" w:hAnsi="Times New Roman" w:cs="Times New Roman"/>
          <w:color w:val="auto"/>
          <w:highlight w:val="none"/>
          <w:lang w:val="en-US" w:eastAsia="zh-CN"/>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集体</w:t>
      </w:r>
      <w:r>
        <w:rPr>
          <w:rFonts w:hint="default" w:ascii="仿宋_GB2312" w:hAnsi="仿宋_GB2312" w:eastAsia="仿宋_GB2312" w:cs="仿宋_GB2312"/>
          <w:b w:val="0"/>
          <w:bCs w:val="0"/>
          <w:color w:val="auto"/>
          <w:kern w:val="28"/>
          <w:sz w:val="32"/>
          <w:szCs w:val="32"/>
          <w:highlight w:val="none"/>
          <w:lang w:val="en-US" w:eastAsia="zh-CN"/>
        </w:rPr>
        <w:t>工业用地区域因素修正系数表（五级）</w:t>
      </w:r>
    </w:p>
    <w:tbl>
      <w:tblPr>
        <w:tblStyle w:val="15"/>
        <w:tblW w:w="8931" w:type="dxa"/>
        <w:jc w:val="center"/>
        <w:tblLayout w:type="autofit"/>
        <w:tblCellMar>
          <w:top w:w="0" w:type="dxa"/>
          <w:left w:w="108" w:type="dxa"/>
          <w:bottom w:w="0" w:type="dxa"/>
          <w:right w:w="108" w:type="dxa"/>
        </w:tblCellMar>
      </w:tblPr>
      <w:tblGrid>
        <w:gridCol w:w="1208"/>
        <w:gridCol w:w="1544"/>
        <w:gridCol w:w="1544"/>
        <w:gridCol w:w="1544"/>
        <w:gridCol w:w="1544"/>
        <w:gridCol w:w="1547"/>
      </w:tblGrid>
      <w:tr>
        <w:tblPrEx>
          <w:tblCellMar>
            <w:top w:w="0" w:type="dxa"/>
            <w:left w:w="108" w:type="dxa"/>
            <w:bottom w:w="0" w:type="dxa"/>
            <w:right w:w="108" w:type="dxa"/>
          </w:tblCellMar>
        </w:tblPrEx>
        <w:trPr>
          <w:trHeight w:val="340" w:hRule="atLeast"/>
          <w:tblHeader/>
          <w:jc w:val="center"/>
        </w:trPr>
        <w:tc>
          <w:tcPr>
            <w:tcW w:w="1208"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pStyle w:val="32"/>
              <w:spacing w:line="240" w:lineRule="auto"/>
              <w:jc w:val="right"/>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优劣度</w:t>
            </w:r>
          </w:p>
          <w:p>
            <w:pPr>
              <w:pStyle w:val="32"/>
              <w:spacing w:line="24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因素</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w:t>
            </w:r>
          </w:p>
        </w:tc>
        <w:tc>
          <w:tcPr>
            <w:tcW w:w="1544"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较优</w:t>
            </w:r>
          </w:p>
        </w:tc>
        <w:tc>
          <w:tcPr>
            <w:tcW w:w="1544"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一般</w:t>
            </w:r>
          </w:p>
        </w:tc>
        <w:tc>
          <w:tcPr>
            <w:tcW w:w="1544"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较劣</w:t>
            </w:r>
          </w:p>
        </w:tc>
        <w:tc>
          <w:tcPr>
            <w:tcW w:w="1547" w:type="dxa"/>
            <w:tcBorders>
              <w:top w:val="single" w:color="auto" w:sz="4" w:space="0"/>
              <w:left w:val="nil"/>
              <w:bottom w:val="single" w:color="auto" w:sz="4" w:space="0"/>
              <w:right w:val="single" w:color="auto" w:sz="4" w:space="0"/>
            </w:tcBorders>
            <w:shd w:val="clear" w:color="auto" w:fill="auto"/>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劣</w:t>
            </w:r>
          </w:p>
        </w:tc>
      </w:tr>
      <w:tr>
        <w:tblPrEx>
          <w:tblCellMar>
            <w:top w:w="0" w:type="dxa"/>
            <w:left w:w="108" w:type="dxa"/>
            <w:bottom w:w="0" w:type="dxa"/>
            <w:right w:w="108" w:type="dxa"/>
          </w:tblCellMar>
        </w:tblPrEx>
        <w:trPr>
          <w:trHeight w:val="340"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交通条件</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道路通达度高，距汽车站、货运站、高速公路出入口近，对外交通便利</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道路通达度较高，距汽车站、货运站、高速公路出入口较近，对外交通较便利</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道路通达度一般，距汽车站、货运站、高速公路出入口一般，对外交通一般</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道路通达度较低，距汽车站、货运站、高速公路出入口较远，对外交通较差</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道路通达度低，距汽车站、货运站、高速公路出入口远，对外交通差</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4.62%</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2.31%</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-2.31%</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-4.62%</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基本设施状况</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市政供水，供电保证率高，排水状况好</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市政供水，供电保证率较高，排水状况较好</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市政供水，供电保证率一般，排水状况一般</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市政供水，供电保证率较低，排水状况较差</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市政供水，供电保证率低，排水状况差</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3.45%</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1.72%</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-1.72%</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-3.45%</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产业聚集效应</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产业集聚度高</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产业集聚度较高</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产业集聚度一般</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产业集聚度较低</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产业集聚度低</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2.77%</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1.39%</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-1.39%</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-2.77%</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社会经济状况</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区域人均收入、人口密度、经济产值高</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区域人均收入、人口密度、经济产值较高</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区域人均收入、人口密度、经济产值一般</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区域人均收入、人口密度、经济产值较低</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区域人均收入、人口密度、经济产值低</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1.86%</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0.93%</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-0.93%</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-1.86%</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环境条件</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绿化、空气质量、水质量等情况好，无噪音影响</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绿化、空气质量、水质量等情况良好，噪音影响轻微</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绿化、空气质量、水质量等情况一般，噪音影响一般</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绿化、空气质量、水质量等情况较差，噪音影响较严重</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绿化、空气质量、水质量等情况差，噪音影响严重</w:t>
            </w:r>
          </w:p>
        </w:tc>
      </w:tr>
      <w:tr>
        <w:tblPrEx>
          <w:tblCellMar>
            <w:top w:w="0" w:type="dxa"/>
            <w:left w:w="108" w:type="dxa"/>
            <w:bottom w:w="0" w:type="dxa"/>
            <w:right w:w="108" w:type="dxa"/>
          </w:tblCellMar>
        </w:tblPrEx>
        <w:trPr>
          <w:trHeight w:val="340" w:hRule="atLeast"/>
          <w:jc w:val="center"/>
        </w:trPr>
        <w:tc>
          <w:tcPr>
            <w:tcW w:w="120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2.34%</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1.17%</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-1.17%</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-2.34%</w:t>
            </w:r>
          </w:p>
        </w:tc>
      </w:tr>
      <w:tr>
        <w:tblPrEx>
          <w:tblCellMar>
            <w:top w:w="0" w:type="dxa"/>
            <w:left w:w="108" w:type="dxa"/>
            <w:bottom w:w="0" w:type="dxa"/>
            <w:right w:w="108" w:type="dxa"/>
          </w:tblCellMar>
        </w:tblPrEx>
        <w:trPr>
          <w:trHeight w:val="340" w:hRule="atLeast"/>
          <w:jc w:val="center"/>
        </w:trPr>
        <w:tc>
          <w:tcPr>
            <w:tcW w:w="1208" w:type="dxa"/>
            <w:tcBorders>
              <w:top w:val="single" w:color="auto" w:sz="4" w:space="0"/>
              <w:left w:val="single" w:color="auto" w:sz="4" w:space="0"/>
              <w:bottom w:val="single" w:color="auto" w:sz="4" w:space="0"/>
              <w:right w:val="nil"/>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宏观区位影响度</w:t>
            </w:r>
          </w:p>
        </w:tc>
        <w:tc>
          <w:tcPr>
            <w:tcW w:w="1544"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距周边中心城镇近，区域受其影响高</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距周边中心城镇较近，区域受其影响较高</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距周边中心城镇有一定距离，区域受其影响一般</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距周边中心城镇较远，区域受其影响较低</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周边中心城镇远，区域受其影响低</w:t>
            </w:r>
          </w:p>
        </w:tc>
      </w:tr>
      <w:tr>
        <w:tblPrEx>
          <w:tblCellMar>
            <w:top w:w="0" w:type="dxa"/>
            <w:left w:w="108" w:type="dxa"/>
            <w:bottom w:w="0" w:type="dxa"/>
            <w:right w:w="108" w:type="dxa"/>
          </w:tblCellMar>
        </w:tblPrEx>
        <w:trPr>
          <w:trHeight w:val="340"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sz w:val="24"/>
                <w:highlight w:val="none"/>
              </w:rPr>
            </w:pPr>
            <w:r>
              <w:rPr>
                <w:rFonts w:hint="eastAsia" w:ascii="仿宋_GB2312" w:hAnsi="仿宋_GB2312" w:eastAsia="仿宋_GB2312" w:cs="仿宋_GB2312"/>
                <w:b/>
                <w:bCs/>
                <w:kern w:val="0"/>
                <w:sz w:val="24"/>
                <w:highlight w:val="none"/>
              </w:rPr>
              <w:t>修正系数</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1.70%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0.85%</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0.00%</w:t>
            </w:r>
          </w:p>
        </w:tc>
        <w:tc>
          <w:tcPr>
            <w:tcW w:w="1544"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-0.85%</w:t>
            </w:r>
          </w:p>
        </w:tc>
        <w:tc>
          <w:tcPr>
            <w:tcW w:w="1547"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-1.70%</w:t>
            </w:r>
          </w:p>
        </w:tc>
      </w:tr>
      <w:tr>
        <w:tblPrEx>
          <w:tblCellMar>
            <w:top w:w="0" w:type="dxa"/>
            <w:left w:w="108" w:type="dxa"/>
            <w:bottom w:w="0" w:type="dxa"/>
            <w:right w:w="108" w:type="dxa"/>
          </w:tblCellMar>
        </w:tblPrEx>
        <w:trPr>
          <w:trHeight w:val="340"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区域规划</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规划前景好</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规划前景较好</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规划前景一般</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规划前景较差</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规划前景差</w:t>
            </w:r>
          </w:p>
        </w:tc>
      </w:tr>
      <w:tr>
        <w:tblPrEx>
          <w:tblCellMar>
            <w:top w:w="0" w:type="dxa"/>
            <w:left w:w="108" w:type="dxa"/>
            <w:bottom w:w="0" w:type="dxa"/>
            <w:right w:w="108" w:type="dxa"/>
          </w:tblCellMar>
        </w:tblPrEx>
        <w:trPr>
          <w:trHeight w:val="340"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修正系数</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1.44%</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0.72%</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0.00%</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-0.72%</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-1.44%</w:t>
            </w:r>
          </w:p>
        </w:tc>
      </w:tr>
    </w:tbl>
    <w:p>
      <w:pPr>
        <w:pStyle w:val="28"/>
        <w:keepNext w:val="0"/>
        <w:keepLines w:val="0"/>
        <w:pageBreakBefore w:val="0"/>
        <w:widowControl/>
        <w:numPr>
          <w:ilvl w:val="0"/>
          <w:numId w:val="4"/>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容积率修正系数</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eastAsia"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集体工业用地容积率修正系数表</w:t>
      </w:r>
    </w:p>
    <w:tbl>
      <w:tblPr>
        <w:tblStyle w:val="15"/>
        <w:tblW w:w="8430" w:type="dxa"/>
        <w:jc w:val="center"/>
        <w:tblLayout w:type="autofit"/>
        <w:tblCellMar>
          <w:top w:w="0" w:type="dxa"/>
          <w:left w:w="108" w:type="dxa"/>
          <w:bottom w:w="0" w:type="dxa"/>
          <w:right w:w="108" w:type="dxa"/>
        </w:tblCellMar>
      </w:tblPr>
      <w:tblGrid>
        <w:gridCol w:w="1265"/>
        <w:gridCol w:w="1064"/>
        <w:gridCol w:w="1527"/>
        <w:gridCol w:w="1334"/>
        <w:gridCol w:w="1080"/>
        <w:gridCol w:w="1080"/>
        <w:gridCol w:w="1080"/>
      </w:tblGrid>
      <w:tr>
        <w:tblPrEx>
          <w:tblCellMar>
            <w:top w:w="0" w:type="dxa"/>
            <w:left w:w="108" w:type="dxa"/>
            <w:bottom w:w="0" w:type="dxa"/>
            <w:right w:w="108" w:type="dxa"/>
          </w:tblCellMar>
        </w:tblPrEx>
        <w:trPr>
          <w:trHeight w:val="285" w:hRule="atLeast"/>
          <w:jc w:val="center"/>
        </w:trPr>
        <w:tc>
          <w:tcPr>
            <w:tcW w:w="1265"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容积率</w:t>
            </w:r>
          </w:p>
        </w:tc>
        <w:tc>
          <w:tcPr>
            <w:tcW w:w="1064"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w:t>
            </w:r>
            <w:r>
              <w:rPr>
                <w:rStyle w:val="33"/>
                <w:rFonts w:hint="eastAsia" w:ascii="仿宋_GB2312" w:hAnsi="仿宋_GB2312" w:eastAsia="仿宋_GB2312" w:cs="仿宋_GB2312"/>
                <w:highlight w:val="none"/>
              </w:rPr>
              <w:t>1</w:t>
            </w:r>
          </w:p>
        </w:tc>
        <w:tc>
          <w:tcPr>
            <w:tcW w:w="1527"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1.1</w:t>
            </w:r>
          </w:p>
        </w:tc>
        <w:tc>
          <w:tcPr>
            <w:tcW w:w="1334"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1.2</w:t>
            </w:r>
          </w:p>
        </w:tc>
        <w:tc>
          <w:tcPr>
            <w:tcW w:w="1080"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1.3</w:t>
            </w:r>
          </w:p>
        </w:tc>
        <w:tc>
          <w:tcPr>
            <w:tcW w:w="1080"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1.4</w:t>
            </w:r>
          </w:p>
        </w:tc>
        <w:tc>
          <w:tcPr>
            <w:tcW w:w="1080"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1.5</w:t>
            </w:r>
          </w:p>
        </w:tc>
      </w:tr>
      <w:tr>
        <w:tblPrEx>
          <w:tblCellMar>
            <w:top w:w="0" w:type="dxa"/>
            <w:left w:w="108" w:type="dxa"/>
            <w:bottom w:w="0" w:type="dxa"/>
            <w:right w:w="108" w:type="dxa"/>
          </w:tblCellMar>
        </w:tblPrEx>
        <w:trPr>
          <w:trHeight w:val="285" w:hRule="atLeast"/>
          <w:jc w:val="center"/>
        </w:trPr>
        <w:tc>
          <w:tcPr>
            <w:tcW w:w="1265"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w:t>
            </w:r>
          </w:p>
        </w:tc>
        <w:tc>
          <w:tcPr>
            <w:tcW w:w="1527"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1.0184</w:t>
            </w:r>
          </w:p>
        </w:tc>
        <w:tc>
          <w:tcPr>
            <w:tcW w:w="1334"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1.0336</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1.0476</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1.0609</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1.0734</w:t>
            </w:r>
          </w:p>
        </w:tc>
      </w:tr>
      <w:tr>
        <w:tblPrEx>
          <w:tblCellMar>
            <w:top w:w="0" w:type="dxa"/>
            <w:left w:w="108" w:type="dxa"/>
            <w:bottom w:w="0" w:type="dxa"/>
            <w:right w:w="108" w:type="dxa"/>
          </w:tblCellMar>
        </w:tblPrEx>
        <w:trPr>
          <w:trHeight w:val="285" w:hRule="atLeast"/>
          <w:jc w:val="center"/>
        </w:trPr>
        <w:tc>
          <w:tcPr>
            <w:tcW w:w="1265"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容积率</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1.6</w:t>
            </w:r>
          </w:p>
        </w:tc>
        <w:tc>
          <w:tcPr>
            <w:tcW w:w="1527"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1.7</w:t>
            </w:r>
          </w:p>
        </w:tc>
        <w:tc>
          <w:tcPr>
            <w:tcW w:w="1334"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1.8</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1.9</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2</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2.1</w:t>
            </w:r>
          </w:p>
        </w:tc>
      </w:tr>
      <w:tr>
        <w:tblPrEx>
          <w:tblCellMar>
            <w:top w:w="0" w:type="dxa"/>
            <w:left w:w="108" w:type="dxa"/>
            <w:bottom w:w="0" w:type="dxa"/>
            <w:right w:w="108" w:type="dxa"/>
          </w:tblCellMar>
        </w:tblPrEx>
        <w:trPr>
          <w:trHeight w:val="285" w:hRule="atLeast"/>
          <w:jc w:val="center"/>
        </w:trPr>
        <w:tc>
          <w:tcPr>
            <w:tcW w:w="1265"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1.0852</w:t>
            </w:r>
          </w:p>
        </w:tc>
        <w:tc>
          <w:tcPr>
            <w:tcW w:w="1527"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1.0963</w:t>
            </w:r>
          </w:p>
        </w:tc>
        <w:tc>
          <w:tcPr>
            <w:tcW w:w="1334"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1.107</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1.1172</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1.1269</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1.1363</w:t>
            </w:r>
          </w:p>
        </w:tc>
      </w:tr>
      <w:tr>
        <w:tblPrEx>
          <w:tblCellMar>
            <w:top w:w="0" w:type="dxa"/>
            <w:left w:w="108" w:type="dxa"/>
            <w:bottom w:w="0" w:type="dxa"/>
            <w:right w:w="108" w:type="dxa"/>
          </w:tblCellMar>
        </w:tblPrEx>
        <w:trPr>
          <w:trHeight w:val="285" w:hRule="atLeast"/>
          <w:jc w:val="center"/>
        </w:trPr>
        <w:tc>
          <w:tcPr>
            <w:tcW w:w="1265"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容积率</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2.2</w:t>
            </w:r>
          </w:p>
        </w:tc>
        <w:tc>
          <w:tcPr>
            <w:tcW w:w="1527"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2.3</w:t>
            </w:r>
          </w:p>
        </w:tc>
        <w:tc>
          <w:tcPr>
            <w:tcW w:w="1334"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2.4</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2.5</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2.6</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2.7</w:t>
            </w:r>
          </w:p>
        </w:tc>
      </w:tr>
      <w:tr>
        <w:tblPrEx>
          <w:tblCellMar>
            <w:top w:w="0" w:type="dxa"/>
            <w:left w:w="108" w:type="dxa"/>
            <w:bottom w:w="0" w:type="dxa"/>
            <w:right w:w="108" w:type="dxa"/>
          </w:tblCellMar>
        </w:tblPrEx>
        <w:trPr>
          <w:trHeight w:val="285" w:hRule="atLeast"/>
          <w:jc w:val="center"/>
        </w:trPr>
        <w:tc>
          <w:tcPr>
            <w:tcW w:w="1265"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1.1452</w:t>
            </w:r>
          </w:p>
        </w:tc>
        <w:tc>
          <w:tcPr>
            <w:tcW w:w="1527"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1.154</w:t>
            </w:r>
          </w:p>
        </w:tc>
        <w:tc>
          <w:tcPr>
            <w:tcW w:w="1334"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1.1623</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1.1703</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1.1782</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1.1857</w:t>
            </w:r>
          </w:p>
        </w:tc>
      </w:tr>
      <w:tr>
        <w:tblPrEx>
          <w:tblCellMar>
            <w:top w:w="0" w:type="dxa"/>
            <w:left w:w="108" w:type="dxa"/>
            <w:bottom w:w="0" w:type="dxa"/>
            <w:right w:w="108" w:type="dxa"/>
          </w:tblCellMar>
        </w:tblPrEx>
        <w:trPr>
          <w:trHeight w:val="285" w:hRule="atLeast"/>
          <w:jc w:val="center"/>
        </w:trPr>
        <w:tc>
          <w:tcPr>
            <w:tcW w:w="1265"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容积率</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2.8</w:t>
            </w:r>
          </w:p>
        </w:tc>
        <w:tc>
          <w:tcPr>
            <w:tcW w:w="1527"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2.9</w:t>
            </w:r>
          </w:p>
        </w:tc>
        <w:tc>
          <w:tcPr>
            <w:tcW w:w="1334"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w:t>
            </w:r>
            <w:r>
              <w:rPr>
                <w:rStyle w:val="33"/>
                <w:rFonts w:hint="eastAsia" w:ascii="仿宋_GB2312" w:hAnsi="仿宋_GB2312" w:eastAsia="仿宋_GB2312" w:cs="仿宋_GB2312"/>
                <w:highlight w:val="none"/>
              </w:rPr>
              <w:t>3</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w:t>
            </w:r>
          </w:p>
        </w:tc>
      </w:tr>
      <w:tr>
        <w:tblPrEx>
          <w:tblCellMar>
            <w:top w:w="0" w:type="dxa"/>
            <w:left w:w="108" w:type="dxa"/>
            <w:bottom w:w="0" w:type="dxa"/>
            <w:right w:w="108" w:type="dxa"/>
          </w:tblCellMar>
        </w:tblPrEx>
        <w:trPr>
          <w:trHeight w:val="285" w:hRule="atLeast"/>
          <w:jc w:val="center"/>
        </w:trPr>
        <w:tc>
          <w:tcPr>
            <w:tcW w:w="1265"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1064"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1.193</w:t>
            </w:r>
          </w:p>
        </w:tc>
        <w:tc>
          <w:tcPr>
            <w:tcW w:w="1527"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1.2001</w:t>
            </w:r>
          </w:p>
        </w:tc>
        <w:tc>
          <w:tcPr>
            <w:tcW w:w="1334"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1.207</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autoSpaceDE/>
              <w:autoSpaceDN/>
              <w:spacing w:line="240" w:lineRule="auto"/>
              <w:ind w:firstLine="0" w:firstLineChars="0"/>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1"/>
                <w:szCs w:val="21"/>
                <w:highlight w:val="none"/>
              </w:rPr>
              <w:t>——</w:t>
            </w:r>
          </w:p>
        </w:tc>
      </w:tr>
    </w:tbl>
    <w:p>
      <w:pPr>
        <w:spacing w:before="29" w:line="229" w:lineRule="auto"/>
        <w:ind w:left="39" w:right="124" w:firstLine="412"/>
        <w:rPr>
          <w:rFonts w:ascii="仿宋_GB2312" w:hAnsi="仿宋_GB2312" w:eastAsia="仿宋_GB2312" w:cs="仿宋_GB2312"/>
          <w:sz w:val="21"/>
          <w:szCs w:val="21"/>
          <w:highlight w:val="none"/>
        </w:rPr>
      </w:pPr>
      <w:r>
        <w:rPr>
          <w:rFonts w:hint="eastAsia" w:ascii="仿宋_GB2312" w:hAnsi="仿宋_GB2312" w:eastAsia="仿宋_GB2312" w:cs="仿宋_GB2312"/>
          <w:spacing w:val="-2"/>
          <w:sz w:val="21"/>
          <w:szCs w:val="21"/>
          <w:highlight w:val="none"/>
        </w:rPr>
        <w:t>注：纳入城乡土地市场统筹供应，与国有工业用地供</w:t>
      </w:r>
      <w:r>
        <w:rPr>
          <w:rFonts w:hint="eastAsia" w:ascii="仿宋_GB2312" w:hAnsi="仿宋_GB2312" w:eastAsia="仿宋_GB2312" w:cs="仿宋_GB2312"/>
          <w:spacing w:val="-3"/>
          <w:sz w:val="21"/>
          <w:szCs w:val="21"/>
          <w:highlight w:val="none"/>
        </w:rPr>
        <w:t>后监管要求一致的集体工业用地，可不</w:t>
      </w:r>
      <w:r>
        <w:rPr>
          <w:rFonts w:hint="eastAsia" w:ascii="仿宋_GB2312" w:hAnsi="仿宋_GB2312" w:eastAsia="仿宋_GB2312" w:cs="仿宋_GB2312"/>
          <w:spacing w:val="-5"/>
          <w:sz w:val="21"/>
          <w:szCs w:val="21"/>
          <w:highlight w:val="none"/>
        </w:rPr>
        <w:t>作容积率修正。</w:t>
      </w:r>
    </w:p>
    <w:p>
      <w:pPr>
        <w:pStyle w:val="28"/>
        <w:keepNext w:val="0"/>
        <w:keepLines w:val="0"/>
        <w:pageBreakBefore w:val="0"/>
        <w:widowControl/>
        <w:numPr>
          <w:ilvl w:val="0"/>
          <w:numId w:val="4"/>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其他个别因素修正编制</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集体工业用地</w:t>
      </w:r>
      <w:r>
        <w:rPr>
          <w:rFonts w:hint="default" w:ascii="仿宋_GB2312" w:hAnsi="仿宋_GB2312" w:eastAsia="仿宋_GB2312" w:cs="仿宋_GB2312"/>
          <w:b w:val="0"/>
          <w:bCs w:val="0"/>
          <w:color w:val="auto"/>
          <w:kern w:val="28"/>
          <w:sz w:val="32"/>
          <w:szCs w:val="32"/>
          <w:highlight w:val="none"/>
          <w:lang w:val="en-US" w:eastAsia="zh-CN"/>
        </w:rPr>
        <w:t>其他个别因素修正系数表</w:t>
      </w:r>
    </w:p>
    <w:tbl>
      <w:tblPr>
        <w:tblStyle w:val="15"/>
        <w:tblW w:w="5221" w:type="pct"/>
        <w:jc w:val="center"/>
        <w:tblLayout w:type="autofit"/>
        <w:tblCellMar>
          <w:top w:w="0" w:type="dxa"/>
          <w:left w:w="108" w:type="dxa"/>
          <w:bottom w:w="0" w:type="dxa"/>
          <w:right w:w="108" w:type="dxa"/>
        </w:tblCellMar>
      </w:tblPr>
      <w:tblGrid>
        <w:gridCol w:w="1300"/>
        <w:gridCol w:w="1518"/>
        <w:gridCol w:w="1518"/>
        <w:gridCol w:w="1518"/>
        <w:gridCol w:w="1518"/>
        <w:gridCol w:w="1527"/>
      </w:tblGrid>
      <w:tr>
        <w:tblPrEx>
          <w:tblCellMar>
            <w:top w:w="0" w:type="dxa"/>
            <w:left w:w="108" w:type="dxa"/>
            <w:bottom w:w="0" w:type="dxa"/>
            <w:right w:w="108" w:type="dxa"/>
          </w:tblCellMar>
        </w:tblPrEx>
        <w:trPr>
          <w:trHeight w:val="340" w:hRule="atLeast"/>
          <w:tblHeader/>
          <w:jc w:val="center"/>
        </w:trPr>
        <w:tc>
          <w:tcPr>
            <w:tcW w:w="730" w:type="pct"/>
            <w:tcBorders>
              <w:top w:val="single" w:color="auto" w:sz="4" w:space="0"/>
              <w:left w:val="single" w:color="auto" w:sz="4" w:space="0"/>
              <w:bottom w:val="single" w:color="auto" w:sz="4" w:space="0"/>
              <w:right w:val="single" w:color="auto" w:sz="4" w:space="0"/>
              <w:tl2br w:val="single" w:color="auto" w:sz="4" w:space="0"/>
            </w:tcBorders>
            <w:vAlign w:val="center"/>
          </w:tcPr>
          <w:p>
            <w:pPr>
              <w:pStyle w:val="32"/>
              <w:spacing w:line="240" w:lineRule="auto"/>
              <w:jc w:val="right"/>
              <w:rPr>
                <w:rFonts w:ascii="仿宋_GB2312" w:hAnsi="仿宋_GB2312" w:eastAsia="仿宋_GB2312" w:cs="仿宋_GB2312"/>
                <w:b/>
                <w:color w:val="auto"/>
                <w:sz w:val="24"/>
                <w:szCs w:val="24"/>
                <w:highlight w:val="none"/>
              </w:rPr>
            </w:pPr>
            <w:bookmarkStart w:id="62" w:name="_Toc435108589"/>
            <w:bookmarkStart w:id="63" w:name="_Toc435179427"/>
            <w:bookmarkStart w:id="64" w:name="_Toc435192445"/>
            <w:bookmarkStart w:id="65" w:name="_Toc435438843"/>
            <w:bookmarkStart w:id="66" w:name="_Toc435109091"/>
            <w:r>
              <w:rPr>
                <w:rFonts w:hint="eastAsia" w:ascii="仿宋_GB2312" w:hAnsi="仿宋_GB2312" w:eastAsia="仿宋_GB2312" w:cs="仿宋_GB2312"/>
                <w:b/>
                <w:color w:val="auto"/>
                <w:sz w:val="24"/>
                <w:szCs w:val="24"/>
                <w:highlight w:val="none"/>
              </w:rPr>
              <w:t>优劣度</w:t>
            </w:r>
          </w:p>
          <w:p>
            <w:pPr>
              <w:pStyle w:val="32"/>
              <w:spacing w:line="24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因素</w:t>
            </w:r>
          </w:p>
        </w:tc>
        <w:tc>
          <w:tcPr>
            <w:tcW w:w="852"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优</w:t>
            </w:r>
          </w:p>
        </w:tc>
        <w:tc>
          <w:tcPr>
            <w:tcW w:w="852" w:type="pct"/>
            <w:tcBorders>
              <w:top w:val="single" w:color="auto" w:sz="4" w:space="0"/>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较优</w:t>
            </w:r>
          </w:p>
        </w:tc>
        <w:tc>
          <w:tcPr>
            <w:tcW w:w="852" w:type="pct"/>
            <w:tcBorders>
              <w:top w:val="single" w:color="auto" w:sz="4" w:space="0"/>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一般</w:t>
            </w:r>
          </w:p>
        </w:tc>
        <w:tc>
          <w:tcPr>
            <w:tcW w:w="852" w:type="pct"/>
            <w:tcBorders>
              <w:top w:val="single" w:color="auto" w:sz="4" w:space="0"/>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较劣</w:t>
            </w:r>
          </w:p>
        </w:tc>
        <w:tc>
          <w:tcPr>
            <w:tcW w:w="857" w:type="pct"/>
            <w:tcBorders>
              <w:top w:val="single" w:color="auto" w:sz="4" w:space="0"/>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劣</w:t>
            </w:r>
          </w:p>
        </w:tc>
      </w:tr>
      <w:tr>
        <w:tblPrEx>
          <w:tblCellMar>
            <w:top w:w="0" w:type="dxa"/>
            <w:left w:w="108" w:type="dxa"/>
            <w:bottom w:w="0" w:type="dxa"/>
            <w:right w:w="108" w:type="dxa"/>
          </w:tblCellMar>
        </w:tblPrEx>
        <w:trPr>
          <w:trHeight w:val="340"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宗地面积</w:t>
            </w:r>
          </w:p>
        </w:tc>
        <w:tc>
          <w:tcPr>
            <w:tcW w:w="852"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面积适中，对土地利用极为有利</w:t>
            </w:r>
          </w:p>
        </w:tc>
        <w:tc>
          <w:tcPr>
            <w:tcW w:w="852"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面积对土地利用较为有利</w:t>
            </w:r>
          </w:p>
        </w:tc>
        <w:tc>
          <w:tcPr>
            <w:tcW w:w="852"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面积对土地利用无不良影响</w:t>
            </w:r>
          </w:p>
        </w:tc>
        <w:tc>
          <w:tcPr>
            <w:tcW w:w="852"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面积较小，对土地利用有一定影响</w:t>
            </w:r>
          </w:p>
        </w:tc>
        <w:tc>
          <w:tcPr>
            <w:tcW w:w="857"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面积过小，对土地利用产生严重影响</w:t>
            </w:r>
          </w:p>
        </w:tc>
      </w:tr>
      <w:tr>
        <w:tblPrEx>
          <w:tblCellMar>
            <w:top w:w="0" w:type="dxa"/>
            <w:left w:w="108" w:type="dxa"/>
            <w:bottom w:w="0" w:type="dxa"/>
            <w:right w:w="108" w:type="dxa"/>
          </w:tblCellMar>
        </w:tblPrEx>
        <w:trPr>
          <w:trHeight w:val="340" w:hRule="atLeast"/>
          <w:jc w:val="center"/>
        </w:trPr>
        <w:tc>
          <w:tcPr>
            <w:tcW w:w="730" w:type="pct"/>
            <w:tcBorders>
              <w:top w:val="nil"/>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0</w:t>
            </w:r>
            <w:r>
              <w:rPr>
                <w:rFonts w:hint="eastAsia" w:ascii="仿宋_GB2312" w:hAnsi="仿宋_GB2312" w:eastAsia="仿宋_GB2312" w:cs="仿宋_GB2312"/>
                <w:sz w:val="24"/>
                <w:highlight w:val="none"/>
                <w:lang w:val="en-US"/>
              </w:rPr>
              <w:t>%</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857"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tblPrEx>
          <w:tblCellMar>
            <w:top w:w="0" w:type="dxa"/>
            <w:left w:w="108" w:type="dxa"/>
            <w:bottom w:w="0" w:type="dxa"/>
            <w:right w:w="108" w:type="dxa"/>
          </w:tblCellMar>
        </w:tblPrEx>
        <w:trPr>
          <w:trHeight w:val="340" w:hRule="atLeast"/>
          <w:jc w:val="center"/>
        </w:trPr>
        <w:tc>
          <w:tcPr>
            <w:tcW w:w="730" w:type="pct"/>
            <w:tcBorders>
              <w:top w:val="nil"/>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宗地形状</w:t>
            </w:r>
          </w:p>
        </w:tc>
        <w:tc>
          <w:tcPr>
            <w:tcW w:w="852"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形状规则，对土地利用合理</w:t>
            </w:r>
          </w:p>
        </w:tc>
        <w:tc>
          <w:tcPr>
            <w:tcW w:w="852"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形状较规则，土地利用较为合理</w:t>
            </w:r>
          </w:p>
        </w:tc>
        <w:tc>
          <w:tcPr>
            <w:tcW w:w="852"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形状一般，土地利用无不良影响</w:t>
            </w:r>
          </w:p>
        </w:tc>
        <w:tc>
          <w:tcPr>
            <w:tcW w:w="852"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形状不规则，对土地利用不合理</w:t>
            </w:r>
          </w:p>
        </w:tc>
        <w:tc>
          <w:tcPr>
            <w:tcW w:w="857"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形状不规则，对土地利用产生严重影响</w:t>
            </w:r>
          </w:p>
        </w:tc>
      </w:tr>
      <w:tr>
        <w:tblPrEx>
          <w:tblCellMar>
            <w:top w:w="0" w:type="dxa"/>
            <w:left w:w="108" w:type="dxa"/>
            <w:bottom w:w="0" w:type="dxa"/>
            <w:right w:w="108" w:type="dxa"/>
          </w:tblCellMar>
        </w:tblPrEx>
        <w:trPr>
          <w:trHeight w:val="340" w:hRule="atLeast"/>
          <w:jc w:val="center"/>
        </w:trPr>
        <w:tc>
          <w:tcPr>
            <w:tcW w:w="730" w:type="pct"/>
            <w:tcBorders>
              <w:top w:val="nil"/>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0</w:t>
            </w:r>
            <w:r>
              <w:rPr>
                <w:rFonts w:hint="eastAsia" w:ascii="仿宋_GB2312" w:hAnsi="仿宋_GB2312" w:eastAsia="仿宋_GB2312" w:cs="仿宋_GB2312"/>
                <w:sz w:val="24"/>
                <w:highlight w:val="none"/>
                <w:lang w:val="en-US"/>
              </w:rPr>
              <w:t>%</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857"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tblPrEx>
          <w:tblCellMar>
            <w:top w:w="0" w:type="dxa"/>
            <w:left w:w="108" w:type="dxa"/>
            <w:bottom w:w="0" w:type="dxa"/>
            <w:right w:w="108" w:type="dxa"/>
          </w:tblCellMar>
        </w:tblPrEx>
        <w:trPr>
          <w:trHeight w:val="340" w:hRule="atLeast"/>
          <w:jc w:val="center"/>
        </w:trPr>
        <w:tc>
          <w:tcPr>
            <w:tcW w:w="730" w:type="pct"/>
            <w:tcBorders>
              <w:top w:val="nil"/>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地形</w:t>
            </w:r>
          </w:p>
        </w:tc>
        <w:tc>
          <w:tcPr>
            <w:tcW w:w="852" w:type="pct"/>
            <w:tcBorders>
              <w:top w:val="nil"/>
              <w:left w:val="nil"/>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地形平坦，可直接开发利用</w:t>
            </w:r>
          </w:p>
        </w:tc>
        <w:tc>
          <w:tcPr>
            <w:tcW w:w="852" w:type="pct"/>
            <w:tcBorders>
              <w:top w:val="nil"/>
              <w:left w:val="nil"/>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地形较平坦</w:t>
            </w:r>
          </w:p>
        </w:tc>
        <w:tc>
          <w:tcPr>
            <w:tcW w:w="852" w:type="pct"/>
            <w:tcBorders>
              <w:top w:val="nil"/>
              <w:left w:val="nil"/>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地形对土地利用无不良影响</w:t>
            </w:r>
          </w:p>
        </w:tc>
        <w:tc>
          <w:tcPr>
            <w:tcW w:w="852" w:type="pct"/>
            <w:tcBorders>
              <w:top w:val="nil"/>
              <w:left w:val="nil"/>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有一定地形坡度和起伏，对土地利用有一定影响</w:t>
            </w:r>
          </w:p>
        </w:tc>
        <w:tc>
          <w:tcPr>
            <w:tcW w:w="857" w:type="pct"/>
            <w:tcBorders>
              <w:top w:val="nil"/>
              <w:left w:val="nil"/>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地形起伏、坡度较大，对土地利用产生严重影响</w:t>
            </w:r>
          </w:p>
        </w:tc>
      </w:tr>
      <w:tr>
        <w:tblPrEx>
          <w:tblCellMar>
            <w:top w:w="0" w:type="dxa"/>
            <w:left w:w="108" w:type="dxa"/>
            <w:bottom w:w="0" w:type="dxa"/>
            <w:right w:w="108" w:type="dxa"/>
          </w:tblCellMar>
        </w:tblPrEx>
        <w:trPr>
          <w:trHeight w:val="340" w:hRule="atLeast"/>
          <w:jc w:val="center"/>
        </w:trPr>
        <w:tc>
          <w:tcPr>
            <w:tcW w:w="730" w:type="pct"/>
            <w:tcBorders>
              <w:top w:val="nil"/>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2%</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rPr>
              <w:t>1%</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0</w:t>
            </w:r>
            <w:r>
              <w:rPr>
                <w:rFonts w:hint="eastAsia" w:ascii="仿宋_GB2312" w:hAnsi="仿宋_GB2312" w:eastAsia="仿宋_GB2312" w:cs="仿宋_GB2312"/>
                <w:sz w:val="24"/>
                <w:highlight w:val="none"/>
                <w:lang w:val="en-US"/>
              </w:rPr>
              <w:t>%</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857"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tblPrEx>
          <w:tblCellMar>
            <w:top w:w="0" w:type="dxa"/>
            <w:left w:w="108" w:type="dxa"/>
            <w:bottom w:w="0" w:type="dxa"/>
            <w:right w:w="108" w:type="dxa"/>
          </w:tblCellMar>
        </w:tblPrEx>
        <w:trPr>
          <w:trHeight w:val="340" w:hRule="atLeast"/>
          <w:jc w:val="center"/>
        </w:trPr>
        <w:tc>
          <w:tcPr>
            <w:tcW w:w="730" w:type="pct"/>
            <w:tcBorders>
              <w:top w:val="nil"/>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地势</w:t>
            </w:r>
          </w:p>
        </w:tc>
        <w:tc>
          <w:tcPr>
            <w:tcW w:w="852" w:type="pct"/>
            <w:tcBorders>
              <w:top w:val="nil"/>
              <w:left w:val="nil"/>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地势较高，排水通风条件好，出入口设置仍然便利</w:t>
            </w:r>
          </w:p>
        </w:tc>
        <w:tc>
          <w:tcPr>
            <w:tcW w:w="852" w:type="pct"/>
            <w:tcBorders>
              <w:top w:val="nil"/>
              <w:left w:val="nil"/>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地势一般，通风排水条件一般，不影响出入口设置</w:t>
            </w:r>
          </w:p>
        </w:tc>
        <w:tc>
          <w:tcPr>
            <w:tcW w:w="852" w:type="pct"/>
            <w:tcBorders>
              <w:top w:val="nil"/>
              <w:left w:val="nil"/>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地势一般，排水通风条件一般</w:t>
            </w:r>
          </w:p>
        </w:tc>
        <w:tc>
          <w:tcPr>
            <w:tcW w:w="852" w:type="pct"/>
            <w:tcBorders>
              <w:top w:val="nil"/>
              <w:left w:val="nil"/>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地势偏高，对出入通道设置有一定影响</w:t>
            </w:r>
          </w:p>
        </w:tc>
        <w:tc>
          <w:tcPr>
            <w:tcW w:w="857" w:type="pct"/>
            <w:tcBorders>
              <w:top w:val="nil"/>
              <w:left w:val="nil"/>
              <w:bottom w:val="single" w:color="auto" w:sz="4" w:space="0"/>
              <w:right w:val="single" w:color="auto" w:sz="4" w:space="0"/>
            </w:tcBorders>
            <w:vAlign w:val="center"/>
          </w:tcPr>
          <w:p>
            <w:pPr>
              <w:autoSpaceDE/>
              <w:autoSpaceDN/>
              <w:snapToGrid w:val="0"/>
              <w:spacing w:line="240" w:lineRule="auto"/>
              <w:ind w:firstLine="0" w:firstLineChars="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bidi="zh-CN"/>
              </w:rPr>
              <w:t>地势偏低，不利于通风排水和出入口设置</w:t>
            </w:r>
          </w:p>
        </w:tc>
      </w:tr>
      <w:tr>
        <w:tblPrEx>
          <w:tblCellMar>
            <w:top w:w="0" w:type="dxa"/>
            <w:left w:w="108" w:type="dxa"/>
            <w:bottom w:w="0" w:type="dxa"/>
            <w:right w:w="108" w:type="dxa"/>
          </w:tblCellMar>
        </w:tblPrEx>
        <w:trPr>
          <w:trHeight w:val="340" w:hRule="atLeast"/>
          <w:jc w:val="center"/>
        </w:trPr>
        <w:tc>
          <w:tcPr>
            <w:tcW w:w="730" w:type="pct"/>
            <w:tcBorders>
              <w:top w:val="nil"/>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2%</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rPr>
              <w:t>1%</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0</w:t>
            </w:r>
            <w:r>
              <w:rPr>
                <w:rFonts w:hint="eastAsia" w:ascii="仿宋_GB2312" w:hAnsi="仿宋_GB2312" w:eastAsia="仿宋_GB2312" w:cs="仿宋_GB2312"/>
                <w:sz w:val="24"/>
                <w:highlight w:val="none"/>
                <w:lang w:val="en-US"/>
              </w:rPr>
              <w:t>%</w:t>
            </w:r>
          </w:p>
        </w:tc>
        <w:tc>
          <w:tcPr>
            <w:tcW w:w="852"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857" w:type="pct"/>
            <w:tcBorders>
              <w:top w:val="nil"/>
              <w:left w:val="nil"/>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r>
        <w:tblPrEx>
          <w:tblCellMar>
            <w:top w:w="0" w:type="dxa"/>
            <w:left w:w="108" w:type="dxa"/>
            <w:bottom w:w="0" w:type="dxa"/>
            <w:right w:w="108" w:type="dxa"/>
          </w:tblCellMar>
        </w:tblPrEx>
        <w:trPr>
          <w:trHeight w:val="340" w:hRule="atLeast"/>
          <w:jc w:val="center"/>
        </w:trPr>
        <w:tc>
          <w:tcPr>
            <w:tcW w:w="730" w:type="pct"/>
            <w:tcBorders>
              <w:top w:val="nil"/>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临路条件</w:t>
            </w:r>
          </w:p>
        </w:tc>
        <w:tc>
          <w:tcPr>
            <w:tcW w:w="852" w:type="pct"/>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临交通型主干道</w:t>
            </w:r>
          </w:p>
        </w:tc>
        <w:tc>
          <w:tcPr>
            <w:tcW w:w="852" w:type="pct"/>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临混合型主干道</w:t>
            </w:r>
          </w:p>
        </w:tc>
        <w:tc>
          <w:tcPr>
            <w:tcW w:w="852" w:type="pct"/>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临次干道</w:t>
            </w:r>
          </w:p>
        </w:tc>
        <w:tc>
          <w:tcPr>
            <w:tcW w:w="852" w:type="pct"/>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临支路</w:t>
            </w:r>
          </w:p>
        </w:tc>
        <w:tc>
          <w:tcPr>
            <w:tcW w:w="857" w:type="pct"/>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不临路</w:t>
            </w:r>
          </w:p>
        </w:tc>
      </w:tr>
      <w:tr>
        <w:tblPrEx>
          <w:tblCellMar>
            <w:top w:w="0" w:type="dxa"/>
            <w:left w:w="108" w:type="dxa"/>
            <w:bottom w:w="0" w:type="dxa"/>
            <w:right w:w="108" w:type="dxa"/>
          </w:tblCellMar>
        </w:tblPrEx>
        <w:trPr>
          <w:trHeight w:val="340" w:hRule="atLeast"/>
          <w:jc w:val="center"/>
        </w:trPr>
        <w:tc>
          <w:tcPr>
            <w:tcW w:w="730" w:type="pct"/>
            <w:tcBorders>
              <w:top w:val="nil"/>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修正系数</w:t>
            </w:r>
          </w:p>
        </w:tc>
        <w:tc>
          <w:tcPr>
            <w:tcW w:w="852"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852"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852"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sz w:val="24"/>
                <w:highlight w:val="none"/>
              </w:rPr>
              <w:t>0</w:t>
            </w:r>
            <w:r>
              <w:rPr>
                <w:rFonts w:hint="eastAsia" w:ascii="仿宋_GB2312" w:hAnsi="仿宋_GB2312" w:eastAsia="仿宋_GB2312" w:cs="仿宋_GB2312"/>
                <w:sz w:val="24"/>
                <w:highlight w:val="none"/>
                <w:lang w:val="en-US"/>
              </w:rPr>
              <w:t>%</w:t>
            </w:r>
          </w:p>
        </w:tc>
        <w:tc>
          <w:tcPr>
            <w:tcW w:w="852"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857" w:type="pct"/>
            <w:tcBorders>
              <w:top w:val="nil"/>
              <w:left w:val="nil"/>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r>
      <w:tr>
        <w:tblPrEx>
          <w:tblCellMar>
            <w:top w:w="0" w:type="dxa"/>
            <w:left w:w="108" w:type="dxa"/>
            <w:bottom w:w="0" w:type="dxa"/>
            <w:right w:w="108" w:type="dxa"/>
          </w:tblCellMar>
        </w:tblPrEx>
        <w:trPr>
          <w:trHeight w:val="340"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sz w:val="24"/>
                <w:szCs w:val="24"/>
                <w:highlight w:val="none"/>
              </w:rPr>
              <w:t>宗地地基承载力</w:t>
            </w:r>
          </w:p>
        </w:tc>
        <w:tc>
          <w:tcPr>
            <w:tcW w:w="852" w:type="pct"/>
            <w:tcBorders>
              <w:top w:val="single" w:color="auto" w:sz="4" w:space="0"/>
              <w:left w:val="single" w:color="auto" w:sz="4" w:space="0"/>
              <w:bottom w:val="single" w:color="auto" w:sz="4" w:space="0"/>
              <w:right w:val="single" w:color="auto" w:sz="4" w:space="0"/>
            </w:tcBorders>
            <w:vAlign w:val="center"/>
          </w:tcPr>
          <w:p>
            <w:pPr>
              <w:pStyle w:val="30"/>
              <w:spacing w:before="2" w:line="240" w:lineRule="auto"/>
              <w:ind w:firstLine="0" w:firstLineChars="0"/>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宗地地基承载力好</w:t>
            </w:r>
          </w:p>
        </w:tc>
        <w:tc>
          <w:tcPr>
            <w:tcW w:w="852"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宗地地基承载力较好</w:t>
            </w:r>
          </w:p>
        </w:tc>
        <w:tc>
          <w:tcPr>
            <w:tcW w:w="852"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宗地地基承载力适宜</w:t>
            </w:r>
          </w:p>
        </w:tc>
        <w:tc>
          <w:tcPr>
            <w:tcW w:w="852"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宗地地基承载力较差</w:t>
            </w:r>
          </w:p>
        </w:tc>
        <w:tc>
          <w:tcPr>
            <w:tcW w:w="857"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宗地地基承载力差</w:t>
            </w:r>
          </w:p>
        </w:tc>
      </w:tr>
      <w:tr>
        <w:tblPrEx>
          <w:tblCellMar>
            <w:top w:w="0" w:type="dxa"/>
            <w:left w:w="108" w:type="dxa"/>
            <w:bottom w:w="0" w:type="dxa"/>
            <w:right w:w="108" w:type="dxa"/>
          </w:tblCellMar>
        </w:tblPrEx>
        <w:trPr>
          <w:trHeight w:val="340"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pPr>
              <w:pStyle w:val="32"/>
              <w:spacing w:line="240" w:lineRule="auto"/>
              <w:jc w:val="center"/>
              <w:rPr>
                <w:rFonts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sz w:val="24"/>
                <w:szCs w:val="24"/>
                <w:highlight w:val="none"/>
              </w:rPr>
              <w:t>修正系数</w:t>
            </w:r>
          </w:p>
        </w:tc>
        <w:tc>
          <w:tcPr>
            <w:tcW w:w="852"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lang w:val="en-US"/>
              </w:rPr>
              <w:t>2%</w:t>
            </w:r>
          </w:p>
        </w:tc>
        <w:tc>
          <w:tcPr>
            <w:tcW w:w="852"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lang w:val="en-US"/>
              </w:rPr>
              <w:t>1%</w:t>
            </w:r>
          </w:p>
        </w:tc>
        <w:tc>
          <w:tcPr>
            <w:tcW w:w="852"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0</w:t>
            </w:r>
            <w:r>
              <w:rPr>
                <w:rFonts w:hint="eastAsia" w:ascii="仿宋_GB2312" w:hAnsi="仿宋_GB2312" w:eastAsia="仿宋_GB2312" w:cs="仿宋_GB2312"/>
                <w:sz w:val="24"/>
                <w:highlight w:val="none"/>
                <w:lang w:val="en-US"/>
              </w:rPr>
              <w:t>%</w:t>
            </w:r>
          </w:p>
        </w:tc>
        <w:tc>
          <w:tcPr>
            <w:tcW w:w="852"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1%</w:t>
            </w:r>
          </w:p>
        </w:tc>
        <w:tc>
          <w:tcPr>
            <w:tcW w:w="857" w:type="pct"/>
            <w:tcBorders>
              <w:top w:val="single" w:color="auto" w:sz="4" w:space="0"/>
              <w:left w:val="single" w:color="auto" w:sz="4" w:space="0"/>
              <w:bottom w:val="single" w:color="auto" w:sz="4" w:space="0"/>
              <w:right w:val="single" w:color="auto" w:sz="4" w:space="0"/>
            </w:tcBorders>
            <w:vAlign w:val="center"/>
          </w:tcPr>
          <w:p>
            <w:pPr>
              <w:pStyle w:val="30"/>
              <w:spacing w:line="240" w:lineRule="auto"/>
              <w:ind w:firstLine="0" w:firstLineChars="0"/>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rPr>
              <w:t>2%</w:t>
            </w:r>
          </w:p>
        </w:tc>
      </w:tr>
    </w:tbl>
    <w:p>
      <w:pPr>
        <w:pStyle w:val="28"/>
        <w:keepNext w:val="0"/>
        <w:keepLines w:val="0"/>
        <w:pageBreakBefore w:val="0"/>
        <w:widowControl/>
        <w:numPr>
          <w:ilvl w:val="0"/>
          <w:numId w:val="4"/>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剩余</w:t>
      </w:r>
      <w:r>
        <w:rPr>
          <w:rFonts w:hint="default" w:ascii="仿宋_GB2312" w:hAnsi="仿宋_GB2312" w:eastAsia="仿宋_GB2312" w:cs="仿宋_GB2312"/>
          <w:b w:val="0"/>
          <w:bCs w:val="0"/>
          <w:sz w:val="32"/>
          <w:szCs w:val="32"/>
          <w:highlight w:val="none"/>
          <w:lang w:val="en-US" w:eastAsia="zh-CN"/>
        </w:rPr>
        <w:t>使用年期修正</w:t>
      </w:r>
      <w:bookmarkEnd w:id="62"/>
      <w:bookmarkEnd w:id="63"/>
      <w:bookmarkEnd w:id="64"/>
      <w:bookmarkEnd w:id="65"/>
      <w:bookmarkEnd w:id="66"/>
    </w:p>
    <w:p>
      <w:pPr>
        <w:pStyle w:val="28"/>
        <w:bidi w:val="0"/>
        <w:rPr>
          <w:rFonts w:hint="default" w:ascii="仿宋_GB2312" w:hAnsi="仿宋_GB2312" w:eastAsia="仿宋_GB2312" w:cs="仿宋_GB2312"/>
          <w:highlight w:val="none"/>
          <w:lang w:eastAsia="zh-CN"/>
        </w:rPr>
      </w:pPr>
      <w:bookmarkStart w:id="67" w:name="_Toc435192446"/>
      <w:bookmarkStart w:id="68" w:name="_Toc435179428"/>
      <w:bookmarkStart w:id="69" w:name="_Toc435108590"/>
      <w:bookmarkStart w:id="70" w:name="_Toc435438844"/>
      <w:bookmarkStart w:id="71" w:name="_Toc435109092"/>
      <w:r>
        <w:rPr>
          <w:rFonts w:hint="default" w:ascii="仿宋_GB2312" w:hAnsi="仿宋_GB2312" w:eastAsia="仿宋_GB2312" w:cs="仿宋_GB2312"/>
          <w:highlight w:val="none"/>
          <w:lang w:eastAsia="zh-CN"/>
        </w:rPr>
        <w:t>土地剩余使用年期修正</w:t>
      </w:r>
      <w:r>
        <w:rPr>
          <w:rFonts w:hint="default" w:ascii="仿宋_GB2312" w:hAnsi="仿宋_GB2312" w:eastAsia="仿宋_GB2312" w:cs="仿宋_GB2312"/>
          <w:highlight w:val="none"/>
          <w:lang w:val="en-US" w:eastAsia="zh-CN"/>
        </w:rPr>
        <w:t>公式为：</w:t>
      </w:r>
    </w:p>
    <w:p>
      <w:pPr>
        <w:keepNext w:val="0"/>
        <w:keepLines w:val="0"/>
        <w:pageBreakBefore w:val="0"/>
        <w:widowControl w:val="0"/>
        <w:kinsoku/>
        <w:wordWrap/>
        <w:overflowPunct/>
        <w:topLinePunct w:val="0"/>
        <w:autoSpaceDE w:val="0"/>
        <w:autoSpaceDN w:val="0"/>
        <w:bidi w:val="0"/>
        <w:adjustRightInd/>
        <w:snapToGrid/>
        <w:spacing w:line="240" w:lineRule="auto"/>
        <w:ind w:left="0" w:firstLine="0" w:firstLineChars="0"/>
        <w:jc w:val="center"/>
        <w:textAlignment w:val="auto"/>
        <w:rPr>
          <w:rFonts w:hint="default" w:ascii="Times New Roman" w:hAnsi="Times New Roman" w:eastAsia="仿宋" w:cs="Times New Roman"/>
          <w:color w:val="auto"/>
          <w:position w:val="-36"/>
          <w:highlight w:val="none"/>
        </w:rPr>
      </w:pPr>
      <w:r>
        <w:rPr>
          <w:rFonts w:hint="default" w:ascii="Times New Roman" w:hAnsi="Times New Roman" w:eastAsia="仿宋" w:cs="Times New Roman"/>
          <w:color w:val="auto"/>
          <w:position w:val="-36"/>
          <w:highlight w:val="none"/>
        </w:rPr>
        <w:object>
          <v:shape id="_x0000_i1030" o:spt="75" type="#_x0000_t75" style="height:42pt;width:165pt;" o:ole="t" filled="f" o:preferrelative="t" stroked="f" coordsize="21600,21600">
            <v:path/>
            <v:fill on="f" focussize="0,0"/>
            <v:stroke on="f"/>
            <v:imagedata r:id="rId17" o:title=""/>
            <o:lock v:ext="edit" aspectratio="t"/>
            <w10:wrap type="none"/>
            <w10:anchorlock/>
          </v:shape>
          <o:OLEObject Type="Embed" ProgID="Equation.KSEE3" ShapeID="_x0000_i1030" DrawAspect="Content" ObjectID="_1468075730" r:id="rId16">
            <o:LockedField>false</o:LockedField>
          </o:OLEObject>
        </w:object>
      </w:r>
    </w:p>
    <w:p>
      <w:pPr>
        <w:bidi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式中：</w:t>
      </w:r>
      <w:r>
        <w:rPr>
          <w:rFonts w:hint="eastAsia" w:ascii="仿宋_GB2312" w:hAnsi="仿宋_GB2312" w:eastAsia="仿宋_GB2312" w:cs="仿宋_GB2312"/>
          <w:color w:val="auto"/>
          <w:position w:val="-4"/>
          <w:sz w:val="24"/>
          <w:szCs w:val="24"/>
          <w:highlight w:val="none"/>
        </w:rPr>
        <w:object>
          <v:shape id="_x0000_i1031" o:spt="75" type="#_x0000_t75" style="height:10pt;width:9pt;" o:ole="t" filled="f" o:preferrelative="t" stroked="f" coordsize="21600,21600">
            <v:path/>
            <v:fill on="f" focussize="0,0"/>
            <v:stroke on="f"/>
            <v:imagedata r:id="rId19" o:title=""/>
            <o:lock v:ext="edit" aspectratio="t"/>
            <w10:wrap type="none"/>
            <w10:anchorlock/>
          </v:shape>
          <o:OLEObject Type="Embed" ProgID="Equation.KSEE3" ShapeID="_x0000_i1031" DrawAspect="Content" ObjectID="_1468075731" r:id="rId18">
            <o:LockedField>false</o:LockedField>
          </o:OLEObject>
        </w:object>
      </w:r>
      <w:r>
        <w:rPr>
          <w:rFonts w:hint="eastAsia" w:ascii="仿宋_GB2312" w:hAnsi="仿宋_GB2312" w:eastAsia="仿宋_GB2312" w:cs="仿宋_GB2312"/>
          <w:color w:val="auto"/>
          <w:sz w:val="24"/>
          <w:szCs w:val="24"/>
          <w:highlight w:val="none"/>
        </w:rPr>
        <w:t>——土地还原率</w:t>
      </w:r>
      <w:r>
        <w:rPr>
          <w:rFonts w:hint="eastAsia" w:ascii="仿宋_GB2312" w:hAnsi="仿宋_GB2312" w:eastAsia="仿宋_GB2312" w:cs="仿宋_GB2312"/>
          <w:color w:val="auto"/>
          <w:sz w:val="24"/>
          <w:szCs w:val="24"/>
          <w:highlight w:val="none"/>
          <w:lang w:val="en-US" w:eastAsia="zh-CN"/>
        </w:rPr>
        <w:t>5.5%</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position w:val="-6"/>
          <w:sz w:val="24"/>
          <w:szCs w:val="24"/>
          <w:highlight w:val="none"/>
        </w:rPr>
        <w:object>
          <v:shape id="_x0000_i1032" o:spt="75" type="#_x0000_t75" style="height:11pt;width:13pt;" o:ole="t" filled="f" o:preferrelative="t" stroked="f" coordsize="21600,21600">
            <v:path/>
            <v:fill on="f" focussize="0,0"/>
            <v:stroke on="f"/>
            <v:imagedata r:id="rId21" o:title=""/>
            <o:lock v:ext="edit" aspectratio="t"/>
            <w10:wrap type="none"/>
            <w10:anchorlock/>
          </v:shape>
          <o:OLEObject Type="Embed" ProgID="Equation.KSEE3" ShapeID="_x0000_i1032" DrawAspect="Content" ObjectID="_1468075732" r:id="rId20">
            <o:LockedField>false</o:LockedField>
          </o:OLEObject>
        </w:object>
      </w:r>
      <w:r>
        <w:rPr>
          <w:rFonts w:hint="eastAsia" w:ascii="仿宋_GB2312" w:hAnsi="仿宋_GB2312" w:eastAsia="仿宋_GB2312" w:cs="仿宋_GB2312"/>
          <w:color w:val="auto"/>
          <w:sz w:val="24"/>
          <w:szCs w:val="24"/>
          <w:highlight w:val="none"/>
        </w:rPr>
        <w:t>——土地使用权法定最高出让年限50年；</w:t>
      </w:r>
    </w:p>
    <w:p>
      <w:pPr>
        <w:bidi w:val="0"/>
        <w:ind w:firstLine="1200" w:firstLineChars="5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position w:val="-6"/>
          <w:sz w:val="24"/>
          <w:szCs w:val="24"/>
          <w:highlight w:val="none"/>
        </w:rPr>
        <w:object>
          <v:shape id="_x0000_i1033" o:spt="75" type="#_x0000_t75" style="height:11pt;width:10pt;" o:ole="t" filled="f" o:preferrelative="t" stroked="f" coordsize="21600,21600">
            <v:path/>
            <v:fill on="f" focussize="0,0"/>
            <v:stroke on="f"/>
            <v:imagedata r:id="rId23" o:title=""/>
            <o:lock v:ext="edit" aspectratio="t"/>
            <w10:wrap type="none"/>
            <w10:anchorlock/>
          </v:shape>
          <o:OLEObject Type="Embed" ProgID="Equation.KSEE3" ShapeID="_x0000_i1033" DrawAspect="Content" ObjectID="_1468075733" r:id="rId22">
            <o:LockedField>false</o:LockedField>
          </o:OLEObject>
        </w:object>
      </w:r>
      <w:r>
        <w:rPr>
          <w:rFonts w:hint="eastAsia" w:ascii="仿宋_GB2312" w:hAnsi="仿宋_GB2312" w:eastAsia="仿宋_GB2312" w:cs="仿宋_GB2312"/>
          <w:color w:val="auto"/>
          <w:sz w:val="24"/>
          <w:szCs w:val="24"/>
          <w:highlight w:val="none"/>
        </w:rPr>
        <w:t>——土地剩余使用年期；</w:t>
      </w:r>
      <w:r>
        <w:rPr>
          <w:rFonts w:hint="eastAsia" w:ascii="仿宋_GB2312" w:hAnsi="仿宋_GB2312" w:eastAsia="仿宋_GB2312" w:cs="仿宋_GB2312"/>
          <w:color w:val="auto"/>
          <w:position w:val="-4"/>
          <w:sz w:val="24"/>
          <w:szCs w:val="24"/>
          <w:highlight w:val="none"/>
        </w:rPr>
        <w:object>
          <v:shape id="_x0000_i1034" o:spt="75" type="#_x0000_t75" style="height:13pt;width:11pt;" o:ole="t" filled="f" o:preferrelative="t" stroked="f" coordsize="21600,21600">
            <v:path/>
            <v:fill on="f" focussize="0,0"/>
            <v:stroke on="f"/>
            <v:imagedata r:id="rId25" o:title=""/>
            <o:lock v:ext="edit" aspectratio="t"/>
            <w10:wrap type="none"/>
            <w10:anchorlock/>
          </v:shape>
          <o:OLEObject Type="Embed" ProgID="Equation.KSEE3" ShapeID="_x0000_i1034" DrawAspect="Content" ObjectID="_1468075734" r:id="rId24">
            <o:LockedField>false</o:LockedField>
          </o:OLEObject>
        </w:object>
      </w:r>
      <w:r>
        <w:rPr>
          <w:rFonts w:hint="eastAsia" w:ascii="仿宋_GB2312" w:hAnsi="仿宋_GB2312" w:eastAsia="仿宋_GB2312" w:cs="仿宋_GB2312"/>
          <w:color w:val="auto"/>
          <w:sz w:val="24"/>
          <w:szCs w:val="24"/>
          <w:highlight w:val="none"/>
        </w:rPr>
        <w:t>——土地剩余使用年期修正系数</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default" w:ascii="仿宋_GB2312" w:hAnsi="仿宋_GB2312" w:eastAsia="仿宋_GB2312" w:cs="仿宋_GB2312"/>
          <w:b w:val="0"/>
          <w:bCs w:val="0"/>
          <w:color w:val="auto"/>
          <w:kern w:val="28"/>
          <w:sz w:val="32"/>
          <w:szCs w:val="32"/>
          <w:highlight w:val="none"/>
          <w:lang w:val="en-US" w:eastAsia="zh-CN"/>
        </w:rPr>
        <w:t>城区工业用地使用年期修正系数表</w:t>
      </w:r>
    </w:p>
    <w:tbl>
      <w:tblPr>
        <w:tblStyle w:val="15"/>
        <w:tblW w:w="5350" w:type="pct"/>
        <w:jc w:val="center"/>
        <w:tblLayout w:type="fixed"/>
        <w:tblCellMar>
          <w:top w:w="0" w:type="dxa"/>
          <w:left w:w="108" w:type="dxa"/>
          <w:bottom w:w="0" w:type="dxa"/>
          <w:right w:w="108" w:type="dxa"/>
        </w:tblCellMar>
      </w:tblPr>
      <w:tblGrid>
        <w:gridCol w:w="701"/>
        <w:gridCol w:w="842"/>
        <w:gridCol w:w="842"/>
        <w:gridCol w:w="842"/>
        <w:gridCol w:w="841"/>
        <w:gridCol w:w="841"/>
        <w:gridCol w:w="841"/>
        <w:gridCol w:w="841"/>
        <w:gridCol w:w="841"/>
        <w:gridCol w:w="841"/>
        <w:gridCol w:w="847"/>
      </w:tblGrid>
      <w:tr>
        <w:tblPrEx>
          <w:tblCellMar>
            <w:top w:w="0" w:type="dxa"/>
            <w:left w:w="108" w:type="dxa"/>
            <w:bottom w:w="0" w:type="dxa"/>
            <w:right w:w="108" w:type="dxa"/>
          </w:tblCellMar>
        </w:tblPrEx>
        <w:trPr>
          <w:trHeight w:val="283" w:hRule="atLeast"/>
          <w:jc w:val="center"/>
        </w:trPr>
        <w:tc>
          <w:tcPr>
            <w:tcW w:w="384" w:type="pc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剩余年期</w:t>
            </w:r>
          </w:p>
        </w:tc>
        <w:tc>
          <w:tcPr>
            <w:tcW w:w="461" w:type="pc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1</w:t>
            </w:r>
          </w:p>
        </w:tc>
        <w:tc>
          <w:tcPr>
            <w:tcW w:w="461" w:type="pc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2</w:t>
            </w:r>
          </w:p>
        </w:tc>
        <w:tc>
          <w:tcPr>
            <w:tcW w:w="461" w:type="pc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3</w:t>
            </w:r>
          </w:p>
        </w:tc>
        <w:tc>
          <w:tcPr>
            <w:tcW w:w="461" w:type="pc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4</w:t>
            </w:r>
          </w:p>
        </w:tc>
        <w:tc>
          <w:tcPr>
            <w:tcW w:w="461" w:type="pc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5</w:t>
            </w:r>
          </w:p>
        </w:tc>
        <w:tc>
          <w:tcPr>
            <w:tcW w:w="461" w:type="pc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6</w:t>
            </w:r>
          </w:p>
        </w:tc>
        <w:tc>
          <w:tcPr>
            <w:tcW w:w="461" w:type="pc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7</w:t>
            </w:r>
          </w:p>
        </w:tc>
        <w:tc>
          <w:tcPr>
            <w:tcW w:w="461" w:type="pc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8</w:t>
            </w:r>
          </w:p>
        </w:tc>
        <w:tc>
          <w:tcPr>
            <w:tcW w:w="461" w:type="pc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9</w:t>
            </w:r>
          </w:p>
        </w:tc>
        <w:tc>
          <w:tcPr>
            <w:tcW w:w="464" w:type="pc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10</w:t>
            </w:r>
          </w:p>
        </w:tc>
      </w:tr>
      <w:tr>
        <w:tblPrEx>
          <w:tblCellMar>
            <w:top w:w="0" w:type="dxa"/>
            <w:left w:w="108" w:type="dxa"/>
            <w:bottom w:w="0" w:type="dxa"/>
            <w:right w:w="108" w:type="dxa"/>
          </w:tblCellMar>
        </w:tblPrEx>
        <w:trPr>
          <w:trHeight w:val="283"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0.056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0.109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0.1593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0.207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0.2522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0.295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0.3356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0.3741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0.4106</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0.4452</w:t>
            </w:r>
          </w:p>
        </w:tc>
      </w:tr>
      <w:tr>
        <w:tblPrEx>
          <w:tblCellMar>
            <w:top w:w="0" w:type="dxa"/>
            <w:left w:w="108" w:type="dxa"/>
            <w:bottom w:w="0" w:type="dxa"/>
            <w:right w:w="108" w:type="dxa"/>
          </w:tblCellMar>
        </w:tblPrEx>
        <w:trPr>
          <w:trHeight w:val="283"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剩余年期</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11</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12</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13</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14</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15</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16</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17</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18</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19</w:t>
            </w:r>
          </w:p>
        </w:tc>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20</w:t>
            </w:r>
          </w:p>
        </w:tc>
      </w:tr>
      <w:tr>
        <w:tblPrEx>
          <w:tblCellMar>
            <w:top w:w="0" w:type="dxa"/>
            <w:left w:w="108" w:type="dxa"/>
            <w:bottom w:w="0" w:type="dxa"/>
            <w:right w:w="108" w:type="dxa"/>
          </w:tblCellMar>
        </w:tblPrEx>
        <w:trPr>
          <w:trHeight w:val="283"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0.478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0.509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0.5385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0.5664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0.5928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0.6179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0.6417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0.6642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0.6856</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0.7058</w:t>
            </w:r>
          </w:p>
        </w:tc>
      </w:tr>
      <w:tr>
        <w:tblPrEx>
          <w:tblCellMar>
            <w:top w:w="0" w:type="dxa"/>
            <w:left w:w="108" w:type="dxa"/>
            <w:bottom w:w="0" w:type="dxa"/>
            <w:right w:w="108" w:type="dxa"/>
          </w:tblCellMar>
        </w:tblPrEx>
        <w:trPr>
          <w:trHeight w:val="283"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剩余年期</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21</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22</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23</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24</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25</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26</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27</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28</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29</w:t>
            </w:r>
          </w:p>
        </w:tc>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30</w:t>
            </w:r>
          </w:p>
        </w:tc>
      </w:tr>
      <w:tr>
        <w:tblPrEx>
          <w:tblCellMar>
            <w:top w:w="0" w:type="dxa"/>
            <w:left w:w="108" w:type="dxa"/>
            <w:bottom w:w="0" w:type="dxa"/>
            <w:right w:w="108" w:type="dxa"/>
          </w:tblCellMar>
        </w:tblPrEx>
        <w:trPr>
          <w:trHeight w:val="283"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0.725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0.7432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0.7604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0.7768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0.7922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0.8069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0.8208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0.834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0.8465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0.8584</w:t>
            </w:r>
          </w:p>
        </w:tc>
      </w:tr>
      <w:tr>
        <w:tblPrEx>
          <w:tblCellMar>
            <w:top w:w="0" w:type="dxa"/>
            <w:left w:w="108" w:type="dxa"/>
            <w:bottom w:w="0" w:type="dxa"/>
            <w:right w:w="108" w:type="dxa"/>
          </w:tblCellMar>
        </w:tblPrEx>
        <w:trPr>
          <w:trHeight w:val="283"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剩余年期</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31</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32</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33</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34</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35</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36</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37</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38</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39</w:t>
            </w:r>
          </w:p>
        </w:tc>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40</w:t>
            </w:r>
          </w:p>
        </w:tc>
      </w:tr>
      <w:tr>
        <w:tblPrEx>
          <w:tblCellMar>
            <w:top w:w="0" w:type="dxa"/>
            <w:left w:w="108" w:type="dxa"/>
            <w:bottom w:w="0" w:type="dxa"/>
            <w:right w:w="108" w:type="dxa"/>
          </w:tblCellMar>
        </w:tblPrEx>
        <w:trPr>
          <w:trHeight w:val="283"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0.8696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0.8803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0.8904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0.8999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0.909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0.9176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0.9257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0.9335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0.9408</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0.9477</w:t>
            </w:r>
          </w:p>
        </w:tc>
      </w:tr>
      <w:tr>
        <w:tblPrEx>
          <w:tblCellMar>
            <w:top w:w="0" w:type="dxa"/>
            <w:left w:w="108" w:type="dxa"/>
            <w:bottom w:w="0" w:type="dxa"/>
            <w:right w:w="108" w:type="dxa"/>
          </w:tblCellMar>
        </w:tblPrEx>
        <w:trPr>
          <w:trHeight w:val="283"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剩余年期</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41</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42</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43</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44</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45</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46</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47</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48</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49</w:t>
            </w:r>
          </w:p>
        </w:tc>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50</w:t>
            </w:r>
          </w:p>
        </w:tc>
      </w:tr>
      <w:tr>
        <w:tblPrEx>
          <w:tblCellMar>
            <w:top w:w="0" w:type="dxa"/>
            <w:left w:w="108" w:type="dxa"/>
            <w:bottom w:w="0" w:type="dxa"/>
            <w:right w:w="108" w:type="dxa"/>
          </w:tblCellMar>
        </w:tblPrEx>
        <w:trPr>
          <w:trHeight w:val="283"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autoSpaceDN/>
              <w:spacing w:line="240" w:lineRule="auto"/>
              <w:ind w:firstLine="0" w:firstLineChars="0"/>
              <w:jc w:val="center"/>
              <w:textAlignment w:val="center"/>
              <w:rPr>
                <w:rFonts w:ascii="仿宋_GB2312" w:hAnsi="仿宋_GB2312" w:eastAsia="仿宋_GB2312" w:cs="仿宋_GB2312"/>
                <w:b/>
                <w:bCs/>
                <w:sz w:val="24"/>
                <w:highlight w:val="none"/>
              </w:rPr>
            </w:pPr>
            <w:r>
              <w:rPr>
                <w:rFonts w:hint="eastAsia" w:ascii="仿宋_GB2312" w:hAnsi="仿宋_GB2312" w:eastAsia="仿宋_GB2312" w:cs="仿宋_GB2312"/>
                <w:b/>
                <w:bCs/>
                <w:kern w:val="0"/>
                <w:sz w:val="24"/>
                <w:highlight w:val="none"/>
              </w:rPr>
              <w:t>修正系数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0.9543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0.9605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0.9664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0.972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0.9773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0.9824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0.9871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0.9917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0.9959</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autoSpaceDN/>
              <w:spacing w:line="240" w:lineRule="auto"/>
              <w:ind w:firstLine="0" w:firstLineChars="0"/>
              <w:jc w:val="center"/>
              <w:textAlignment w:val="center"/>
              <w:rPr>
                <w:rFonts w:ascii="仿宋_GB2312" w:hAnsi="仿宋_GB2312" w:eastAsia="仿宋_GB2312" w:cs="仿宋_GB2312"/>
                <w:w w:val="80"/>
                <w:szCs w:val="28"/>
                <w:highlight w:val="none"/>
              </w:rPr>
            </w:pPr>
            <w:r>
              <w:rPr>
                <w:rFonts w:hint="eastAsia" w:ascii="仿宋_GB2312" w:hAnsi="仿宋_GB2312" w:eastAsia="仿宋_GB2312" w:cs="仿宋_GB2312"/>
                <w:w w:val="80"/>
                <w:kern w:val="0"/>
                <w:szCs w:val="28"/>
                <w:highlight w:val="none"/>
              </w:rPr>
              <w:t>1</w:t>
            </w:r>
          </w:p>
        </w:tc>
      </w:tr>
      <w:bookmarkEnd w:id="67"/>
      <w:bookmarkEnd w:id="68"/>
      <w:bookmarkEnd w:id="69"/>
      <w:bookmarkEnd w:id="70"/>
      <w:bookmarkEnd w:id="71"/>
    </w:tbl>
    <w:p>
      <w:pPr>
        <w:pStyle w:val="28"/>
        <w:keepNext w:val="0"/>
        <w:keepLines w:val="0"/>
        <w:pageBreakBefore w:val="0"/>
        <w:widowControl/>
        <w:numPr>
          <w:ilvl w:val="0"/>
          <w:numId w:val="4"/>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en-US" w:eastAsia="zh-CN"/>
        </w:rPr>
      </w:pPr>
      <w:bookmarkStart w:id="72" w:name="_Toc435109093"/>
      <w:bookmarkStart w:id="73" w:name="_Toc435179429"/>
      <w:bookmarkStart w:id="74" w:name="_Toc435192447"/>
      <w:bookmarkStart w:id="75" w:name="_Toc435438845"/>
      <w:bookmarkStart w:id="76" w:name="_Toc435108591"/>
      <w:r>
        <w:rPr>
          <w:rFonts w:hint="default" w:ascii="仿宋_GB2312" w:hAnsi="仿宋_GB2312" w:eastAsia="仿宋_GB2312" w:cs="仿宋_GB2312"/>
          <w:b w:val="0"/>
          <w:bCs w:val="0"/>
          <w:sz w:val="32"/>
          <w:szCs w:val="32"/>
          <w:highlight w:val="none"/>
          <w:lang w:val="en-US" w:eastAsia="zh-CN"/>
        </w:rPr>
        <w:t>土地开发程度修正</w:t>
      </w:r>
      <w:bookmarkEnd w:id="72"/>
      <w:bookmarkEnd w:id="73"/>
      <w:bookmarkEnd w:id="74"/>
      <w:bookmarkEnd w:id="75"/>
      <w:bookmarkEnd w:id="76"/>
    </w:p>
    <w:p>
      <w:pPr>
        <w:ind w:firstLine="560"/>
        <w:rPr>
          <w:rFonts w:hint="eastAsia" w:ascii="仿宋_GB2312" w:hAnsi="仿宋_GB2312" w:eastAsia="仿宋_GB2312" w:cs="仿宋_GB2312"/>
          <w:kern w:val="0"/>
          <w:sz w:val="32"/>
          <w:szCs w:val="21"/>
          <w:highlight w:val="none"/>
          <w:lang w:eastAsia="zh-CN"/>
        </w:rPr>
      </w:pPr>
      <w:r>
        <w:rPr>
          <w:rFonts w:hint="eastAsia" w:ascii="仿宋_GB2312" w:hAnsi="仿宋_GB2312" w:eastAsia="仿宋_GB2312" w:cs="仿宋_GB2312"/>
          <w:kern w:val="0"/>
          <w:sz w:val="32"/>
          <w:szCs w:val="21"/>
          <w:highlight w:val="none"/>
          <w:lang w:eastAsia="zh-CN"/>
        </w:rPr>
        <w:t>韶关市曲江区集体工业用地基准地价为“三通一平”（宗地红线外通路、通水、通电，宗地红线内场地平整）土地开发程度下的价格。当运用集体建设用地基准地价法进行宗地评估时，若宗地未达到或超过基准地价设定开发程度时，应酌情扣除或增加相应开发费用。</w:t>
      </w:r>
    </w:p>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1695" w:leftChars="0" w:hanging="1695" w:firstLineChars="0"/>
        <w:jc w:val="center"/>
        <w:textAlignment w:val="auto"/>
        <w:rPr>
          <w:rFonts w:hint="default" w:ascii="仿宋_GB2312" w:hAnsi="仿宋_GB2312" w:eastAsia="仿宋_GB2312" w:cs="仿宋_GB2312"/>
          <w:b w:val="0"/>
          <w:bCs w:val="0"/>
          <w:color w:val="auto"/>
          <w:kern w:val="28"/>
          <w:sz w:val="32"/>
          <w:szCs w:val="32"/>
          <w:highlight w:val="none"/>
          <w:lang w:val="en-US" w:eastAsia="zh-CN"/>
        </w:rPr>
      </w:pPr>
      <w:r>
        <w:rPr>
          <w:rFonts w:hint="eastAsia" w:ascii="仿宋_GB2312" w:hAnsi="仿宋_GB2312" w:eastAsia="仿宋_GB2312" w:cs="仿宋_GB2312"/>
          <w:b w:val="0"/>
          <w:bCs w:val="0"/>
          <w:color w:val="auto"/>
          <w:kern w:val="28"/>
          <w:sz w:val="32"/>
          <w:szCs w:val="32"/>
          <w:highlight w:val="none"/>
          <w:lang w:val="en-US" w:eastAsia="zh-CN"/>
        </w:rPr>
        <w:t>土地开发程度修正值表</w:t>
      </w:r>
    </w:p>
    <w:tbl>
      <w:tblPr>
        <w:tblStyle w:val="15"/>
        <w:tblW w:w="501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382"/>
        <w:gridCol w:w="851"/>
        <w:gridCol w:w="923"/>
        <w:gridCol w:w="863"/>
        <w:gridCol w:w="838"/>
        <w:gridCol w:w="838"/>
        <w:gridCol w:w="833"/>
        <w:gridCol w:w="853"/>
        <w:gridCol w:w="9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jc w:val="center"/>
        </w:trPr>
        <w:tc>
          <w:tcPr>
            <w:tcW w:w="828" w:type="pct"/>
            <w:vMerge w:val="restart"/>
            <w:tcBorders>
              <w:top w:val="single" w:color="auto"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土地开发程度</w:t>
            </w:r>
          </w:p>
        </w:tc>
        <w:tc>
          <w:tcPr>
            <w:tcW w:w="3594" w:type="pct"/>
            <w:gridSpan w:val="7"/>
            <w:tcBorders>
              <w:top w:val="single" w:color="auto"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开发项目及成本（元/平方米）</w:t>
            </w:r>
          </w:p>
        </w:tc>
        <w:tc>
          <w:tcPr>
            <w:tcW w:w="576" w:type="pct"/>
            <w:tcBorders>
              <w:top w:val="single" w:color="auto" w:sz="4" w:space="0"/>
              <w:left w:val="single" w:color="000000" w:sz="4" w:space="0"/>
              <w:bottom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jc w:val="center"/>
        </w:trPr>
        <w:tc>
          <w:tcPr>
            <w:tcW w:w="828" w:type="pct"/>
            <w:vMerge w:val="continue"/>
            <w:tcBorders>
              <w:top w:val="nil"/>
              <w:bottom w:val="single" w:color="000000" w:sz="4" w:space="0"/>
              <w:right w:val="single" w:color="000000" w:sz="4" w:space="0"/>
            </w:tcBorders>
            <w:vAlign w:val="center"/>
          </w:tcPr>
          <w:p>
            <w:pPr>
              <w:spacing w:line="240" w:lineRule="auto"/>
              <w:ind w:firstLine="0" w:firstLineChars="0"/>
              <w:jc w:val="center"/>
              <w:rPr>
                <w:rFonts w:ascii="仿宋_GB2312" w:hAnsi="仿宋_GB2312" w:eastAsia="仿宋_GB2312" w:cs="仿宋_GB2312"/>
                <w:sz w:val="24"/>
                <w:highlight w:val="none"/>
              </w:rPr>
            </w:pPr>
          </w:p>
        </w:tc>
        <w:tc>
          <w:tcPr>
            <w:tcW w:w="510" w:type="pct"/>
            <w:tcBorders>
              <w:top w:val="single" w:color="000000"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通上水</w:t>
            </w:r>
          </w:p>
        </w:tc>
        <w:tc>
          <w:tcPr>
            <w:tcW w:w="553" w:type="pct"/>
            <w:tcBorders>
              <w:top w:val="single" w:color="000000"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通下水</w:t>
            </w:r>
          </w:p>
        </w:tc>
        <w:tc>
          <w:tcPr>
            <w:tcW w:w="517" w:type="pct"/>
            <w:tcBorders>
              <w:top w:val="single" w:color="000000"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通电</w:t>
            </w:r>
          </w:p>
        </w:tc>
        <w:tc>
          <w:tcPr>
            <w:tcW w:w="502" w:type="pct"/>
            <w:tcBorders>
              <w:top w:val="single" w:color="000000"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通讯</w:t>
            </w:r>
          </w:p>
        </w:tc>
        <w:tc>
          <w:tcPr>
            <w:tcW w:w="502" w:type="pct"/>
            <w:tcBorders>
              <w:top w:val="single" w:color="000000"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通路</w:t>
            </w:r>
          </w:p>
        </w:tc>
        <w:tc>
          <w:tcPr>
            <w:tcW w:w="499" w:type="pct"/>
            <w:tcBorders>
              <w:top w:val="single" w:color="000000"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通气</w:t>
            </w:r>
          </w:p>
        </w:tc>
        <w:tc>
          <w:tcPr>
            <w:tcW w:w="510" w:type="pct"/>
            <w:tcBorders>
              <w:top w:val="single" w:color="000000" w:sz="4" w:space="0"/>
              <w:left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平整</w:t>
            </w:r>
          </w:p>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土地</w:t>
            </w:r>
          </w:p>
        </w:tc>
        <w:tc>
          <w:tcPr>
            <w:tcW w:w="576" w:type="pct"/>
            <w:tcBorders>
              <w:top w:val="single" w:color="000000" w:sz="4" w:space="0"/>
              <w:left w:val="single" w:color="000000" w:sz="4" w:space="0"/>
              <w:bottom w:val="single" w:color="000000" w:sz="4" w:space="0"/>
            </w:tcBorders>
            <w:vAlign w:val="center"/>
          </w:tcPr>
          <w:p>
            <w:pPr>
              <w:pStyle w:val="30"/>
              <w:spacing w:line="240" w:lineRule="auto"/>
              <w:ind w:firstLine="0" w:firstLineChars="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元/平方米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jc w:val="center"/>
        </w:trPr>
        <w:tc>
          <w:tcPr>
            <w:tcW w:w="828" w:type="pct"/>
            <w:tcBorders>
              <w:top w:val="single" w:color="000000" w:sz="4" w:space="0"/>
              <w:bottom w:val="single" w:color="000000" w:sz="4" w:space="0"/>
              <w:right w:val="single" w:color="000000" w:sz="4" w:space="0"/>
            </w:tcBorders>
            <w:vAlign w:val="center"/>
          </w:tcPr>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数据</w:t>
            </w:r>
          </w:p>
          <w:p>
            <w:pPr>
              <w:pStyle w:val="30"/>
              <w:spacing w:line="240" w:lineRule="auto"/>
              <w:ind w:firstLine="0" w:firstLineChars="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统计范围</w:t>
            </w:r>
          </w:p>
        </w:tc>
        <w:tc>
          <w:tcPr>
            <w:tcW w:w="926"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ascii="Times New Roman" w:hAnsi="Times New Roman" w:eastAsia="仿宋" w:cs="Times New Roman"/>
                <w:sz w:val="24"/>
                <w:szCs w:val="24"/>
                <w:highlight w:val="none"/>
              </w:rPr>
              <w:t>10～</w:t>
            </w:r>
            <w:r>
              <w:rPr>
                <w:rFonts w:hint="eastAsia" w:ascii="Times New Roman" w:hAnsi="Times New Roman" w:eastAsia="仿宋" w:cs="Times New Roman"/>
                <w:sz w:val="24"/>
                <w:szCs w:val="24"/>
                <w:highlight w:val="none"/>
                <w:lang w:val="en-US"/>
              </w:rPr>
              <w:t>25</w:t>
            </w:r>
          </w:p>
        </w:tc>
        <w:tc>
          <w:tcPr>
            <w:tcW w:w="1003"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ascii="Times New Roman" w:hAnsi="Times New Roman" w:eastAsia="仿宋" w:cs="Times New Roman"/>
                <w:sz w:val="24"/>
                <w:szCs w:val="24"/>
                <w:highlight w:val="none"/>
                <w:lang w:val="en-US"/>
              </w:rPr>
              <w:t>10</w:t>
            </w:r>
            <w:r>
              <w:rPr>
                <w:rFonts w:ascii="Times New Roman" w:hAnsi="Times New Roman" w:eastAsia="仿宋" w:cs="Times New Roman"/>
                <w:sz w:val="24"/>
                <w:szCs w:val="24"/>
                <w:highlight w:val="none"/>
              </w:rPr>
              <w:t>～</w:t>
            </w:r>
            <w:r>
              <w:rPr>
                <w:rFonts w:ascii="Times New Roman" w:hAnsi="Times New Roman" w:eastAsia="仿宋" w:cs="Times New Roman"/>
                <w:sz w:val="24"/>
                <w:szCs w:val="24"/>
                <w:highlight w:val="none"/>
                <w:lang w:val="en-US"/>
              </w:rPr>
              <w:t>25</w:t>
            </w:r>
          </w:p>
        </w:tc>
        <w:tc>
          <w:tcPr>
            <w:tcW w:w="938"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hint="eastAsia" w:ascii="Times New Roman" w:hAnsi="Times New Roman" w:eastAsia="仿宋" w:cs="Times New Roman"/>
                <w:sz w:val="24"/>
                <w:szCs w:val="24"/>
                <w:highlight w:val="none"/>
                <w:lang w:val="en-US"/>
              </w:rPr>
              <w:t>1</w:t>
            </w:r>
            <w:r>
              <w:rPr>
                <w:rFonts w:hint="eastAsia" w:ascii="Times New Roman" w:hAnsi="Times New Roman" w:eastAsia="仿宋" w:cs="Times New Roman"/>
                <w:sz w:val="24"/>
                <w:szCs w:val="24"/>
                <w:highlight w:val="none"/>
                <w:lang w:val="en-US" w:eastAsia="zh-CN"/>
              </w:rPr>
              <w:t>0</w:t>
            </w:r>
            <w:r>
              <w:rPr>
                <w:rFonts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rPr>
              <w:t>3</w:t>
            </w:r>
            <w:r>
              <w:rPr>
                <w:rFonts w:ascii="Times New Roman" w:hAnsi="Times New Roman" w:eastAsia="仿宋" w:cs="Times New Roman"/>
                <w:sz w:val="24"/>
                <w:szCs w:val="24"/>
                <w:highlight w:val="none"/>
              </w:rPr>
              <w:t>5</w:t>
            </w: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ascii="Times New Roman" w:hAnsi="Times New Roman" w:eastAsia="仿宋" w:cs="Times New Roman"/>
                <w:sz w:val="24"/>
                <w:szCs w:val="24"/>
                <w:highlight w:val="none"/>
                <w:lang w:val="en-US"/>
              </w:rPr>
              <w:t>5</w:t>
            </w:r>
            <w:r>
              <w:rPr>
                <w:rFonts w:ascii="Times New Roman" w:hAnsi="Times New Roman" w:eastAsia="仿宋" w:cs="Times New Roman"/>
                <w:sz w:val="24"/>
                <w:szCs w:val="24"/>
                <w:highlight w:val="none"/>
              </w:rPr>
              <w:t>～</w:t>
            </w:r>
            <w:r>
              <w:rPr>
                <w:rFonts w:ascii="Times New Roman" w:hAnsi="Times New Roman" w:eastAsia="仿宋" w:cs="Times New Roman"/>
                <w:sz w:val="24"/>
                <w:szCs w:val="24"/>
                <w:highlight w:val="none"/>
                <w:lang w:val="en-US"/>
              </w:rPr>
              <w:t>20</w:t>
            </w: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hint="eastAsia" w:ascii="Times New Roman" w:hAnsi="Times New Roman" w:eastAsia="仿宋" w:cs="Times New Roman"/>
                <w:sz w:val="24"/>
                <w:szCs w:val="24"/>
                <w:highlight w:val="none"/>
                <w:lang w:val="en-US" w:eastAsia="zh-CN"/>
              </w:rPr>
              <w:t>10</w:t>
            </w:r>
            <w:r>
              <w:rPr>
                <w:rFonts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4</w:t>
            </w:r>
            <w:r>
              <w:rPr>
                <w:rFonts w:ascii="Times New Roman" w:hAnsi="Times New Roman" w:eastAsia="仿宋" w:cs="Times New Roman"/>
                <w:sz w:val="24"/>
                <w:szCs w:val="24"/>
                <w:highlight w:val="none"/>
                <w:lang w:val="en-US"/>
              </w:rPr>
              <w:t>0</w:t>
            </w:r>
          </w:p>
        </w:tc>
        <w:tc>
          <w:tcPr>
            <w:tcW w:w="905"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ascii="Times New Roman" w:hAnsi="Times New Roman" w:eastAsia="仿宋" w:cs="Times New Roman"/>
                <w:sz w:val="24"/>
                <w:szCs w:val="24"/>
                <w:highlight w:val="none"/>
                <w:lang w:val="en-US"/>
              </w:rPr>
              <w:t>10</w:t>
            </w:r>
            <w:r>
              <w:rPr>
                <w:rFonts w:ascii="Times New Roman" w:hAnsi="Times New Roman" w:eastAsia="仿宋" w:cs="Times New Roman"/>
                <w:sz w:val="24"/>
                <w:szCs w:val="24"/>
                <w:highlight w:val="none"/>
              </w:rPr>
              <w:t>～</w:t>
            </w:r>
            <w:r>
              <w:rPr>
                <w:rFonts w:ascii="Times New Roman" w:hAnsi="Times New Roman" w:eastAsia="仿宋" w:cs="Times New Roman"/>
                <w:sz w:val="24"/>
                <w:szCs w:val="24"/>
                <w:highlight w:val="none"/>
                <w:lang w:val="en-US"/>
              </w:rPr>
              <w:t>25</w:t>
            </w:r>
          </w:p>
        </w:tc>
        <w:tc>
          <w:tcPr>
            <w:tcW w:w="926"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hint="eastAsia" w:ascii="Times New Roman" w:hAnsi="Times New Roman" w:eastAsia="仿宋" w:cs="Times New Roman"/>
                <w:sz w:val="24"/>
                <w:szCs w:val="24"/>
                <w:highlight w:val="none"/>
                <w:lang w:val="en-US" w:eastAsia="zh-CN"/>
              </w:rPr>
              <w:t>15</w:t>
            </w:r>
            <w:r>
              <w:rPr>
                <w:rFonts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4</w:t>
            </w:r>
            <w:r>
              <w:rPr>
                <w:rFonts w:ascii="Times New Roman" w:hAnsi="Times New Roman" w:eastAsia="仿宋" w:cs="Times New Roman"/>
                <w:sz w:val="24"/>
                <w:szCs w:val="24"/>
                <w:highlight w:val="none"/>
                <w:lang w:val="en-US"/>
              </w:rPr>
              <w:t>0</w:t>
            </w:r>
          </w:p>
        </w:tc>
        <w:tc>
          <w:tcPr>
            <w:tcW w:w="1044" w:type="dxa"/>
            <w:tcBorders>
              <w:top w:val="single" w:color="000000" w:sz="4" w:space="0"/>
              <w:left w:val="single" w:color="000000" w:sz="4" w:space="0"/>
              <w:bottom w:val="single" w:color="000000"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仿宋_GB2312" w:hAnsi="仿宋_GB2312" w:eastAsia="仿宋_GB2312" w:cs="仿宋_GB2312"/>
                <w:sz w:val="24"/>
                <w:highlight w:val="none"/>
              </w:rPr>
            </w:pPr>
            <w:r>
              <w:rPr>
                <w:rFonts w:hint="eastAsia" w:ascii="Times New Roman" w:hAnsi="Times New Roman" w:eastAsia="仿宋" w:cs="Times New Roman"/>
                <w:sz w:val="24"/>
                <w:szCs w:val="24"/>
                <w:highlight w:val="none"/>
                <w:lang w:val="en-US" w:eastAsia="zh-CN"/>
              </w:rPr>
              <w:t>7</w:t>
            </w:r>
            <w:r>
              <w:rPr>
                <w:rFonts w:ascii="Times New Roman" w:hAnsi="Times New Roman" w:eastAsia="仿宋" w:cs="Times New Roman"/>
                <w:sz w:val="24"/>
                <w:szCs w:val="24"/>
                <w:highlight w:val="none"/>
                <w:lang w:val="en-US"/>
              </w:rPr>
              <w:t>0</w:t>
            </w:r>
            <w:r>
              <w:rPr>
                <w:rFonts w:ascii="Times New Roman" w:hAnsi="Times New Roman" w:eastAsia="仿宋" w:cs="Times New Roman"/>
                <w:sz w:val="24"/>
                <w:szCs w:val="24"/>
                <w:highlight w:val="none"/>
              </w:rPr>
              <w:t>～2</w:t>
            </w:r>
            <w:r>
              <w:rPr>
                <w:rFonts w:hint="eastAsia" w:ascii="Times New Roman" w:hAnsi="Times New Roman" w:eastAsia="仿宋" w:cs="Times New Roman"/>
                <w:sz w:val="24"/>
                <w:szCs w:val="24"/>
                <w:highlight w:val="none"/>
                <w:lang w:val="en-US" w:eastAsia="zh-CN"/>
              </w:rPr>
              <w:t>1</w:t>
            </w:r>
            <w:r>
              <w:rPr>
                <w:rFonts w:ascii="Times New Roman" w:hAnsi="Times New Roman" w:eastAsia="仿宋" w:cs="Times New Roman"/>
                <w:sz w:val="24"/>
                <w:szCs w:val="24"/>
                <w:highlight w:val="none"/>
                <w:lang w:val="en-US"/>
              </w:rPr>
              <w:t>0</w:t>
            </w:r>
          </w:p>
        </w:tc>
      </w:tr>
    </w:tbl>
    <w:p>
      <w:pPr>
        <w:adjustRightInd w:val="0"/>
        <w:snapToGrid w:val="0"/>
        <w:spacing w:line="240" w:lineRule="auto"/>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注：本表数据为每平方米土地的土地开发程度修正值。</w:t>
      </w:r>
    </w:p>
    <w:p>
      <w:pPr>
        <w:pStyle w:val="28"/>
        <w:keepNext w:val="0"/>
        <w:keepLines w:val="0"/>
        <w:pageBreakBefore w:val="0"/>
        <w:widowControl/>
        <w:numPr>
          <w:ilvl w:val="0"/>
          <w:numId w:val="5"/>
        </w:numPr>
        <w:kinsoku/>
        <w:wordWrap/>
        <w:overflowPunct/>
        <w:topLinePunct w:val="0"/>
        <w:autoSpaceDE/>
        <w:autoSpaceDN/>
        <w:bidi w:val="0"/>
        <w:adjustRightInd/>
        <w:snapToGrid/>
        <w:ind w:left="0"/>
        <w:textAlignment w:val="auto"/>
        <w:rPr>
          <w:rFonts w:hint="default" w:ascii="仿宋_GB2312" w:hAnsi="仿宋_GB2312" w:eastAsia="仿宋_GB2312" w:cs="仿宋_GB2312"/>
          <w:b w:val="0"/>
          <w:bCs w:val="0"/>
          <w:sz w:val="32"/>
          <w:szCs w:val="32"/>
          <w:highlight w:val="none"/>
          <w:lang w:val="zh-CN" w:eastAsia="zh-CN"/>
        </w:rPr>
        <w:sectPr>
          <w:pgSz w:w="11906" w:h="16838"/>
          <w:pgMar w:top="1440" w:right="1800" w:bottom="1440" w:left="1800" w:header="851" w:footer="992" w:gutter="0"/>
          <w:cols w:space="425" w:num="1"/>
          <w:docGrid w:type="lines" w:linePitch="312" w:charSpace="0"/>
        </w:sectPr>
      </w:pPr>
    </w:p>
    <w:p>
      <w:pPr>
        <w:pStyle w:val="5"/>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580" w:lineRule="exact"/>
        <w:ind w:left="0" w:leftChars="0" w:firstLine="640" w:firstLineChars="200"/>
        <w:textAlignment w:val="auto"/>
        <w:rPr>
          <w:rFonts w:hint="eastAsia" w:ascii="黑体" w:hAnsi="黑体" w:eastAsia="黑体" w:cs="黑体"/>
          <w:b w:val="0"/>
          <w:bCs w:val="0"/>
          <w:color w:val="auto"/>
          <w:kern w:val="48"/>
          <w:sz w:val="32"/>
          <w:szCs w:val="30"/>
          <w:highlight w:val="none"/>
          <w:lang w:val="en-US" w:eastAsia="zh-CN"/>
        </w:rPr>
      </w:pPr>
      <w:r>
        <w:rPr>
          <w:rFonts w:hint="eastAsia" w:ascii="黑体" w:hAnsi="黑体" w:cs="黑体"/>
          <w:b w:val="0"/>
          <w:bCs w:val="0"/>
          <w:color w:val="auto"/>
          <w:kern w:val="48"/>
          <w:sz w:val="32"/>
          <w:szCs w:val="30"/>
          <w:highlight w:val="none"/>
          <w:lang w:val="en-US" w:eastAsia="zh-CN"/>
        </w:rPr>
        <w:t>其他</w:t>
      </w:r>
      <w:r>
        <w:rPr>
          <w:rFonts w:hint="eastAsia" w:ascii="黑体" w:hAnsi="黑体" w:eastAsia="黑体" w:cs="黑体"/>
          <w:b w:val="0"/>
          <w:bCs w:val="0"/>
          <w:color w:val="auto"/>
          <w:kern w:val="48"/>
          <w:sz w:val="32"/>
          <w:szCs w:val="30"/>
          <w:highlight w:val="none"/>
          <w:lang w:val="en-US" w:eastAsia="zh-CN"/>
        </w:rPr>
        <w:t>用地类型修正系数</w:t>
      </w:r>
    </w:p>
    <w:p>
      <w:pPr>
        <w:ind w:firstLine="56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本次韶关市曲江区集体建设用地基准地价成果的用地类型主要有集体商服用地、宅基地和集体工业用地三类。</w:t>
      </w:r>
    </w:p>
    <w:p>
      <w:pPr>
        <w:ind w:firstLine="560"/>
        <w:rPr>
          <w:rFonts w:hint="eastAsia"/>
          <w:highlight w:val="none"/>
          <w:lang w:val="en-US" w:eastAsia="zh-CN"/>
        </w:rPr>
      </w:pPr>
      <w:r>
        <w:rPr>
          <w:rFonts w:hint="eastAsia" w:ascii="仿宋_GB2312" w:hAnsi="仿宋_GB2312" w:eastAsia="仿宋_GB2312" w:cs="仿宋_GB2312"/>
          <w:color w:val="auto"/>
          <w:kern w:val="0"/>
          <w:sz w:val="32"/>
          <w:szCs w:val="32"/>
          <w:highlight w:val="none"/>
        </w:rPr>
        <w:t>由于韶关市集体建设用地的相关规划尚未完善，对土地用途不敏感，土地交易登记时，对土地用途并未细分至二级用地类型，仅划分至一级用地类型。另一方面，目前所掌握的样点并不足以支撑探索研究二级用地类型修正。因此，在集体建设用地基准地价实际应用过程中，如需评估集体商服、宅基地和集体工业用地的二级用地类型的基准地价，可根据《土地利用现状分类》（GB/T 21010-2017）、《国土空间调查、规划、用途管制用地用海分类指南》（自然资发〔2023〕234号）分类，参考韶关市曲江区2024年国有建设用地使用权基准地价成果中同类用地的评估方法加以确定。</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firstLine="640" w:firstLineChars="200"/>
        <w:textAlignment w:val="auto"/>
        <w:rPr>
          <w:rFonts w:hint="default" w:ascii="黑体" w:hAnsi="黑体" w:cs="黑体"/>
          <w:b w:val="0"/>
          <w:bCs w:val="0"/>
          <w:color w:val="auto"/>
          <w:kern w:val="48"/>
          <w:sz w:val="32"/>
          <w:szCs w:val="30"/>
          <w:highlight w:val="none"/>
          <w:lang w:val="en-US" w:eastAsia="zh-CN"/>
        </w:rPr>
      </w:pPr>
      <w:bookmarkStart w:id="77" w:name="_Toc17865"/>
      <w:r>
        <w:rPr>
          <w:rFonts w:hint="eastAsia" w:ascii="黑体" w:hAnsi="黑体" w:cs="黑体"/>
          <w:b w:val="0"/>
          <w:bCs w:val="0"/>
          <w:color w:val="auto"/>
          <w:kern w:val="48"/>
          <w:sz w:val="32"/>
          <w:szCs w:val="30"/>
          <w:highlight w:val="none"/>
          <w:lang w:val="en-US" w:eastAsia="zh-CN"/>
        </w:rPr>
        <w:t>六、计算宗地地价公式（建筑面积均为计容建筑面积）</w:t>
      </w:r>
      <w:bookmarkEnd w:id="77"/>
    </w:p>
    <w:bookmarkEnd w:id="30"/>
    <w:bookmarkEnd w:id="31"/>
    <w:bookmarkEnd w:id="32"/>
    <w:p>
      <w:pPr>
        <w:pStyle w:val="3"/>
        <w:keepNext w:val="0"/>
        <w:keepLines w:val="0"/>
        <w:pageBreakBefore w:val="0"/>
        <w:widowControl w:val="0"/>
        <w:numPr>
          <w:ilvl w:val="0"/>
          <w:numId w:val="0"/>
        </w:numPr>
        <w:tabs>
          <w:tab w:val="left" w:pos="4680"/>
        </w:tabs>
        <w:kinsoku/>
        <w:wordWrap/>
        <w:overflowPunct/>
        <w:topLinePunct w:val="0"/>
        <w:autoSpaceDE/>
        <w:autoSpaceDN/>
        <w:bidi w:val="0"/>
        <w:spacing w:before="0" w:after="0" w:line="560" w:lineRule="exact"/>
        <w:ind w:firstLine="640" w:firstLineChars="200"/>
        <w:textAlignment w:val="auto"/>
        <w:rPr>
          <w:rFonts w:hint="default" w:ascii="楷体_GB2312" w:hAnsi="楷体_GB2312" w:eastAsia="楷体_GB2312" w:cs="楷体_GB2312"/>
          <w:b w:val="0"/>
          <w:bCs w:val="0"/>
          <w:iCs/>
          <w:color w:val="000000"/>
          <w:sz w:val="32"/>
          <w:szCs w:val="32"/>
          <w:highlight w:val="none"/>
          <w:lang w:val="en-US" w:eastAsia="zh-CN"/>
        </w:rPr>
      </w:pPr>
      <w:r>
        <w:rPr>
          <w:rFonts w:hint="default" w:ascii="楷体_GB2312" w:hAnsi="楷体_GB2312" w:eastAsia="楷体_GB2312" w:cs="楷体_GB2312"/>
          <w:b w:val="0"/>
          <w:bCs w:val="0"/>
          <w:iCs/>
          <w:color w:val="000000"/>
          <w:sz w:val="32"/>
          <w:szCs w:val="32"/>
          <w:highlight w:val="none"/>
          <w:lang w:val="en-US" w:eastAsia="zh-CN"/>
        </w:rPr>
        <w:t>（一）</w:t>
      </w:r>
      <w:r>
        <w:rPr>
          <w:rFonts w:hint="eastAsia" w:ascii="楷体_GB2312" w:hAnsi="楷体_GB2312" w:eastAsia="楷体_GB2312" w:cs="楷体_GB2312"/>
          <w:b w:val="0"/>
          <w:bCs w:val="0"/>
          <w:iCs/>
          <w:color w:val="000000"/>
          <w:sz w:val="32"/>
          <w:szCs w:val="32"/>
          <w:highlight w:val="none"/>
          <w:lang w:val="en-US" w:eastAsia="zh-CN"/>
        </w:rPr>
        <w:t>集体</w:t>
      </w:r>
      <w:r>
        <w:rPr>
          <w:rFonts w:hint="default" w:ascii="楷体_GB2312" w:hAnsi="楷体_GB2312" w:eastAsia="楷体_GB2312" w:cs="楷体_GB2312"/>
          <w:b w:val="0"/>
          <w:bCs w:val="0"/>
          <w:iCs/>
          <w:color w:val="000000"/>
          <w:sz w:val="32"/>
          <w:szCs w:val="32"/>
          <w:highlight w:val="none"/>
          <w:lang w:val="en-US" w:eastAsia="zh-CN"/>
        </w:rPr>
        <w:t>商服用地的宗地地价计算公式</w:t>
      </w:r>
    </w:p>
    <w:p>
      <w:pPr>
        <w:ind w:firstLine="562"/>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已建成项目：</w:t>
      </w:r>
    </w:p>
    <w:p>
      <w:pPr>
        <w:ind w:firstLine="56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对应楼层集体商服用地平均楼面地价=集体商服用地级别基准地价×楼层修正系数×街角地修正系数×期日修正系数×（1+区域因素修正系数之和）×（1+其他个别因素修正系数之和）×土地剩余使用年期修正系数±开发程度修正值</w:t>
      </w:r>
    </w:p>
    <w:p>
      <w:pPr>
        <w:pStyle w:val="6"/>
        <w:spacing w:line="500" w:lineRule="exact"/>
        <w:ind w:firstLine="56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集体</w:t>
      </w:r>
      <w:r>
        <w:rPr>
          <w:rFonts w:hint="eastAsia" w:ascii="仿宋_GB2312" w:hAnsi="仿宋_GB2312" w:eastAsia="仿宋_GB2312" w:cs="仿宋_GB2312"/>
          <w:color w:val="auto"/>
          <w:kern w:val="0"/>
          <w:sz w:val="32"/>
          <w:szCs w:val="32"/>
          <w:highlight w:val="none"/>
        </w:rPr>
        <w:t>商服用地总地价：</w:t>
      </w:r>
    </w:p>
    <w:p>
      <w:pPr>
        <w:pStyle w:val="14"/>
        <w:ind w:firstLine="56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对应楼层</w:t>
      </w:r>
      <w:r>
        <w:rPr>
          <w:rFonts w:hint="eastAsia" w:ascii="仿宋_GB2312" w:hAnsi="仿宋_GB2312" w:eastAsia="仿宋_GB2312" w:cs="仿宋_GB2312"/>
          <w:color w:val="auto"/>
          <w:kern w:val="0"/>
          <w:sz w:val="32"/>
          <w:szCs w:val="32"/>
          <w:highlight w:val="none"/>
          <w:lang w:val="en-US" w:eastAsia="zh-CN"/>
        </w:rPr>
        <w:t>集体</w:t>
      </w:r>
      <w:r>
        <w:rPr>
          <w:rFonts w:hint="eastAsia" w:ascii="仿宋_GB2312" w:hAnsi="仿宋_GB2312" w:eastAsia="仿宋_GB2312" w:cs="仿宋_GB2312"/>
          <w:color w:val="auto"/>
          <w:kern w:val="0"/>
          <w:sz w:val="32"/>
          <w:szCs w:val="32"/>
          <w:highlight w:val="none"/>
        </w:rPr>
        <w:t>商服用地总地价=对应楼层</w:t>
      </w:r>
      <w:r>
        <w:rPr>
          <w:rFonts w:hint="eastAsia" w:ascii="仿宋_GB2312" w:hAnsi="仿宋_GB2312" w:eastAsia="仿宋_GB2312" w:cs="仿宋_GB2312"/>
          <w:color w:val="auto"/>
          <w:kern w:val="0"/>
          <w:sz w:val="32"/>
          <w:szCs w:val="32"/>
          <w:highlight w:val="none"/>
          <w:lang w:val="en-US" w:eastAsia="zh-CN"/>
        </w:rPr>
        <w:t>集体</w:t>
      </w:r>
      <w:r>
        <w:rPr>
          <w:rFonts w:hint="eastAsia" w:ascii="仿宋_GB2312" w:hAnsi="仿宋_GB2312" w:eastAsia="仿宋_GB2312" w:cs="仿宋_GB2312"/>
          <w:color w:val="auto"/>
          <w:kern w:val="0"/>
          <w:sz w:val="32"/>
          <w:szCs w:val="32"/>
          <w:highlight w:val="none"/>
        </w:rPr>
        <w:t>商服用地</w:t>
      </w:r>
      <w:r>
        <w:rPr>
          <w:rFonts w:hint="eastAsia" w:ascii="仿宋_GB2312" w:hAnsi="仿宋_GB2312" w:cs="仿宋_GB2312"/>
          <w:color w:val="auto"/>
          <w:kern w:val="0"/>
          <w:sz w:val="32"/>
          <w:szCs w:val="32"/>
          <w:highlight w:val="none"/>
          <w:lang w:val="en-US" w:eastAsia="zh-CN"/>
        </w:rPr>
        <w:t>平均</w:t>
      </w:r>
      <w:r>
        <w:rPr>
          <w:rFonts w:hint="eastAsia" w:ascii="仿宋_GB2312" w:hAnsi="仿宋_GB2312" w:eastAsia="仿宋_GB2312" w:cs="仿宋_GB2312"/>
          <w:color w:val="auto"/>
          <w:kern w:val="0"/>
          <w:sz w:val="32"/>
          <w:szCs w:val="32"/>
          <w:highlight w:val="none"/>
        </w:rPr>
        <w:t>楼面地价×对应</w:t>
      </w:r>
      <w:r>
        <w:rPr>
          <w:rFonts w:hint="eastAsia" w:ascii="仿宋_GB2312" w:hAnsi="仿宋_GB2312" w:cs="仿宋_GB2312"/>
          <w:color w:val="auto"/>
          <w:kern w:val="0"/>
          <w:sz w:val="32"/>
          <w:szCs w:val="32"/>
          <w:highlight w:val="none"/>
          <w:lang w:val="en-US" w:eastAsia="zh-CN"/>
        </w:rPr>
        <w:t>楼</w:t>
      </w:r>
      <w:r>
        <w:rPr>
          <w:rFonts w:hint="eastAsia" w:ascii="仿宋_GB2312" w:hAnsi="仿宋_GB2312" w:eastAsia="仿宋_GB2312" w:cs="仿宋_GB2312"/>
          <w:color w:val="auto"/>
          <w:kern w:val="0"/>
          <w:sz w:val="32"/>
          <w:szCs w:val="32"/>
          <w:highlight w:val="none"/>
        </w:rPr>
        <w:t>层</w:t>
      </w:r>
      <w:r>
        <w:rPr>
          <w:rFonts w:hint="eastAsia" w:ascii="仿宋_GB2312" w:hAnsi="仿宋_GB2312" w:eastAsia="仿宋_GB2312" w:cs="仿宋_GB2312"/>
          <w:color w:val="auto"/>
          <w:kern w:val="0"/>
          <w:sz w:val="32"/>
          <w:szCs w:val="32"/>
          <w:highlight w:val="none"/>
          <w:lang w:val="en-US" w:eastAsia="zh-CN"/>
        </w:rPr>
        <w:t>集体</w:t>
      </w:r>
      <w:r>
        <w:rPr>
          <w:rFonts w:hint="eastAsia" w:ascii="仿宋_GB2312" w:hAnsi="仿宋_GB2312" w:eastAsia="仿宋_GB2312" w:cs="仿宋_GB2312"/>
          <w:color w:val="auto"/>
          <w:kern w:val="0"/>
          <w:sz w:val="32"/>
          <w:szCs w:val="32"/>
          <w:highlight w:val="none"/>
        </w:rPr>
        <w:t>商服建筑面积</w:t>
      </w:r>
    </w:p>
    <w:p>
      <w:pPr>
        <w:pStyle w:val="14"/>
        <w:ind w:firstLine="56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集体</w:t>
      </w:r>
      <w:r>
        <w:rPr>
          <w:rFonts w:hint="eastAsia" w:ascii="仿宋_GB2312" w:hAnsi="仿宋_GB2312" w:eastAsia="仿宋_GB2312" w:cs="仿宋_GB2312"/>
          <w:color w:val="auto"/>
          <w:kern w:val="0"/>
          <w:sz w:val="32"/>
          <w:szCs w:val="32"/>
          <w:highlight w:val="none"/>
        </w:rPr>
        <w:t>商服用地总地价=∑各层</w:t>
      </w:r>
      <w:r>
        <w:rPr>
          <w:rFonts w:hint="eastAsia" w:ascii="仿宋_GB2312" w:hAnsi="仿宋_GB2312" w:eastAsia="仿宋_GB2312" w:cs="仿宋_GB2312"/>
          <w:color w:val="auto"/>
          <w:kern w:val="0"/>
          <w:sz w:val="32"/>
          <w:szCs w:val="32"/>
          <w:highlight w:val="none"/>
          <w:lang w:val="en-US" w:eastAsia="zh-CN"/>
        </w:rPr>
        <w:t>集体</w:t>
      </w:r>
      <w:r>
        <w:rPr>
          <w:rFonts w:hint="eastAsia" w:ascii="仿宋_GB2312" w:hAnsi="仿宋_GB2312" w:eastAsia="仿宋_GB2312" w:cs="仿宋_GB2312"/>
          <w:color w:val="auto"/>
          <w:kern w:val="0"/>
          <w:sz w:val="32"/>
          <w:szCs w:val="32"/>
          <w:highlight w:val="none"/>
        </w:rPr>
        <w:t>商服用地总地价</w:t>
      </w:r>
    </w:p>
    <w:p>
      <w:pPr>
        <w:pStyle w:val="14"/>
        <w:ind w:firstLine="56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集体</w:t>
      </w:r>
      <w:r>
        <w:rPr>
          <w:rFonts w:hint="eastAsia" w:ascii="仿宋_GB2312" w:hAnsi="仿宋_GB2312" w:eastAsia="仿宋_GB2312" w:cs="仿宋_GB2312"/>
          <w:color w:val="auto"/>
          <w:kern w:val="0"/>
          <w:sz w:val="32"/>
          <w:szCs w:val="32"/>
          <w:highlight w:val="none"/>
        </w:rPr>
        <w:t>商服用地单位楼面地价=</w:t>
      </w:r>
      <w:r>
        <w:rPr>
          <w:rFonts w:hint="eastAsia" w:ascii="仿宋_GB2312" w:hAnsi="仿宋_GB2312" w:eastAsia="仿宋_GB2312" w:cs="仿宋_GB2312"/>
          <w:color w:val="auto"/>
          <w:kern w:val="0"/>
          <w:sz w:val="32"/>
          <w:szCs w:val="32"/>
          <w:highlight w:val="none"/>
          <w:lang w:val="en-US" w:eastAsia="zh-CN"/>
        </w:rPr>
        <w:t>集体</w:t>
      </w:r>
      <w:r>
        <w:rPr>
          <w:rFonts w:hint="eastAsia" w:ascii="仿宋_GB2312" w:hAnsi="仿宋_GB2312" w:eastAsia="仿宋_GB2312" w:cs="仿宋_GB2312"/>
          <w:color w:val="auto"/>
          <w:kern w:val="0"/>
          <w:sz w:val="32"/>
          <w:szCs w:val="32"/>
          <w:highlight w:val="none"/>
        </w:rPr>
        <w:t>商服用地总地价÷</w:t>
      </w:r>
      <w:r>
        <w:rPr>
          <w:rFonts w:hint="eastAsia" w:ascii="仿宋_GB2312" w:hAnsi="仿宋_GB2312" w:eastAsia="仿宋_GB2312" w:cs="仿宋_GB2312"/>
          <w:color w:val="auto"/>
          <w:kern w:val="0"/>
          <w:sz w:val="32"/>
          <w:szCs w:val="32"/>
          <w:highlight w:val="none"/>
          <w:lang w:val="en-US" w:eastAsia="zh-CN"/>
        </w:rPr>
        <w:t>集体</w:t>
      </w:r>
      <w:r>
        <w:rPr>
          <w:rFonts w:hint="eastAsia" w:ascii="仿宋_GB2312" w:hAnsi="仿宋_GB2312" w:eastAsia="仿宋_GB2312" w:cs="仿宋_GB2312"/>
          <w:color w:val="auto"/>
          <w:kern w:val="0"/>
          <w:sz w:val="32"/>
          <w:szCs w:val="32"/>
          <w:highlight w:val="none"/>
        </w:rPr>
        <w:t>商服总计容建筑面积</w:t>
      </w:r>
    </w:p>
    <w:p>
      <w:pPr>
        <w:pStyle w:val="14"/>
        <w:ind w:firstLine="562"/>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待开发项目：</w:t>
      </w:r>
    </w:p>
    <w:p>
      <w:pPr>
        <w:pStyle w:val="14"/>
        <w:ind w:firstLine="56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集体商服用地平均楼面地价=集体商服用地级别基准地价×容积率修正系数×街角地修正系数×期日修正系数×（1+区域因素修正系数之和）×（1+其他个别因素修正系数之和）×土地剩余使用年期修正系数±土地开发程度修正系数</w:t>
      </w:r>
    </w:p>
    <w:p>
      <w:pPr>
        <w:pStyle w:val="8"/>
        <w:ind w:firstLine="56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集体</w:t>
      </w:r>
      <w:r>
        <w:rPr>
          <w:rFonts w:hint="eastAsia" w:ascii="仿宋_GB2312" w:hAnsi="仿宋_GB2312" w:eastAsia="仿宋_GB2312" w:cs="仿宋_GB2312"/>
          <w:color w:val="auto"/>
          <w:kern w:val="0"/>
          <w:sz w:val="32"/>
          <w:szCs w:val="32"/>
          <w:highlight w:val="none"/>
        </w:rPr>
        <w:t>商服用地总地价=</w:t>
      </w:r>
      <w:r>
        <w:rPr>
          <w:rFonts w:hint="eastAsia" w:ascii="仿宋_GB2312" w:hAnsi="仿宋_GB2312" w:eastAsia="仿宋_GB2312" w:cs="仿宋_GB2312"/>
          <w:color w:val="auto"/>
          <w:kern w:val="0"/>
          <w:sz w:val="32"/>
          <w:szCs w:val="32"/>
          <w:highlight w:val="none"/>
          <w:lang w:val="en-US" w:eastAsia="zh-CN"/>
        </w:rPr>
        <w:t>集体</w:t>
      </w:r>
      <w:r>
        <w:rPr>
          <w:rFonts w:hint="eastAsia" w:ascii="仿宋_GB2312" w:hAnsi="仿宋_GB2312" w:eastAsia="仿宋_GB2312" w:cs="仿宋_GB2312"/>
          <w:color w:val="auto"/>
          <w:kern w:val="0"/>
          <w:sz w:val="32"/>
          <w:szCs w:val="32"/>
          <w:highlight w:val="none"/>
        </w:rPr>
        <w:t>商服用地平均楼面地价×</w:t>
      </w:r>
      <w:r>
        <w:rPr>
          <w:rFonts w:hint="eastAsia" w:ascii="仿宋_GB2312" w:hAnsi="仿宋_GB2312" w:eastAsia="仿宋_GB2312" w:cs="仿宋_GB2312"/>
          <w:color w:val="auto"/>
          <w:kern w:val="0"/>
          <w:sz w:val="32"/>
          <w:szCs w:val="32"/>
          <w:highlight w:val="none"/>
          <w:lang w:val="en-US" w:eastAsia="zh-CN"/>
        </w:rPr>
        <w:t>集体</w:t>
      </w:r>
      <w:r>
        <w:rPr>
          <w:rFonts w:hint="eastAsia" w:ascii="仿宋_GB2312" w:hAnsi="仿宋_GB2312" w:eastAsia="仿宋_GB2312" w:cs="仿宋_GB2312"/>
          <w:color w:val="auto"/>
          <w:kern w:val="0"/>
          <w:sz w:val="32"/>
          <w:szCs w:val="32"/>
          <w:highlight w:val="none"/>
        </w:rPr>
        <w:t>商服总计容建筑面积</w:t>
      </w:r>
    </w:p>
    <w:p>
      <w:pPr>
        <w:pStyle w:val="3"/>
        <w:keepNext w:val="0"/>
        <w:keepLines w:val="0"/>
        <w:pageBreakBefore w:val="0"/>
        <w:widowControl w:val="0"/>
        <w:numPr>
          <w:ilvl w:val="0"/>
          <w:numId w:val="7"/>
        </w:numPr>
        <w:tabs>
          <w:tab w:val="left" w:pos="4680"/>
        </w:tabs>
        <w:kinsoku/>
        <w:wordWrap/>
        <w:overflowPunct/>
        <w:topLinePunct w:val="0"/>
        <w:autoSpaceDE/>
        <w:autoSpaceDN/>
        <w:bidi w:val="0"/>
        <w:spacing w:before="0" w:after="0" w:line="560" w:lineRule="exact"/>
        <w:ind w:firstLine="640" w:firstLineChars="200"/>
        <w:textAlignment w:val="auto"/>
        <w:rPr>
          <w:rFonts w:hint="default" w:ascii="楷体_GB2312" w:hAnsi="楷体_GB2312" w:eastAsia="楷体_GB2312" w:cs="楷体_GB2312"/>
          <w:b w:val="0"/>
          <w:bCs w:val="0"/>
          <w:iCs/>
          <w:color w:val="000000"/>
          <w:sz w:val="32"/>
          <w:szCs w:val="32"/>
          <w:highlight w:val="none"/>
          <w:lang w:val="en-US" w:eastAsia="zh-CN"/>
        </w:rPr>
      </w:pPr>
      <w:r>
        <w:rPr>
          <w:rFonts w:hint="eastAsia" w:ascii="楷体_GB2312" w:hAnsi="楷体_GB2312" w:eastAsia="楷体_GB2312" w:cs="楷体_GB2312"/>
          <w:b w:val="0"/>
          <w:bCs w:val="0"/>
          <w:iCs/>
          <w:color w:val="000000"/>
          <w:sz w:val="32"/>
          <w:szCs w:val="32"/>
          <w:highlight w:val="none"/>
          <w:lang w:val="en-US" w:eastAsia="zh-CN"/>
        </w:rPr>
        <w:t>住宅</w:t>
      </w:r>
      <w:r>
        <w:rPr>
          <w:rFonts w:hint="default" w:ascii="楷体_GB2312" w:hAnsi="楷体_GB2312" w:eastAsia="楷体_GB2312" w:cs="楷体_GB2312"/>
          <w:b w:val="0"/>
          <w:bCs w:val="0"/>
          <w:iCs/>
          <w:color w:val="000000"/>
          <w:sz w:val="32"/>
          <w:szCs w:val="32"/>
          <w:highlight w:val="none"/>
          <w:lang w:val="en-US" w:eastAsia="zh-CN"/>
        </w:rPr>
        <w:t>用地的宗地地价计算公式</w:t>
      </w:r>
    </w:p>
    <w:p>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不临江时，公式为</w:t>
      </w:r>
    </w:p>
    <w:p>
      <w:pPr>
        <w:ind w:firstLine="56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宅基地地面地价=宅基地级别基准地价×宅基地容积率修正系数×宅基地期日修正系数×（1+宅基地区域因素修正系数之和）×（1+宅基地其他个别因素修正系数之和）±开发程度修正值</w:t>
      </w:r>
    </w:p>
    <w:p>
      <w:pPr>
        <w:ind w:firstLine="56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宅基地总地价=宅基地地面地价×宅基地土地面积</w:t>
      </w:r>
    </w:p>
    <w:p>
      <w:pPr>
        <w:pStyle w:val="28"/>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临江时，公式为</w:t>
      </w:r>
    </w:p>
    <w:p>
      <w:pPr>
        <w:ind w:firstLine="56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宅基地地面地价=宅基地级别基准地价×宅基地容积率修正系数×宅基地期日修正系数×[（1+临江修正系数）×（宗地50米内土地面积÷宗地总用地面积）+（宗地50米外土地面积÷宗地总用地面积）]×（1+宅基地区域因素修正系数之和）×（1+宅基地其他个别因素修正系数之和）±开发程度修正值</w:t>
      </w:r>
    </w:p>
    <w:p>
      <w:pPr>
        <w:ind w:firstLine="56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宅基地总地价=宅基地地面地价×宅基地土地面积</w:t>
      </w:r>
    </w:p>
    <w:p>
      <w:pPr>
        <w:pStyle w:val="3"/>
        <w:keepNext w:val="0"/>
        <w:keepLines w:val="0"/>
        <w:pageBreakBefore w:val="0"/>
        <w:widowControl w:val="0"/>
        <w:numPr>
          <w:ilvl w:val="0"/>
          <w:numId w:val="7"/>
        </w:numPr>
        <w:tabs>
          <w:tab w:val="left" w:pos="4680"/>
        </w:tabs>
        <w:kinsoku/>
        <w:wordWrap/>
        <w:overflowPunct/>
        <w:topLinePunct w:val="0"/>
        <w:autoSpaceDE/>
        <w:autoSpaceDN/>
        <w:bidi w:val="0"/>
        <w:spacing w:before="0" w:after="0" w:line="560" w:lineRule="exact"/>
        <w:ind w:left="0" w:leftChars="0" w:firstLine="640" w:firstLineChars="200"/>
        <w:textAlignment w:val="auto"/>
        <w:rPr>
          <w:rFonts w:hint="default" w:ascii="楷体_GB2312" w:hAnsi="楷体_GB2312" w:eastAsia="楷体_GB2312" w:cs="楷体_GB2312"/>
          <w:b w:val="0"/>
          <w:bCs w:val="0"/>
          <w:iCs/>
          <w:color w:val="000000"/>
          <w:sz w:val="32"/>
          <w:szCs w:val="32"/>
          <w:highlight w:val="none"/>
          <w:lang w:val="en-US" w:eastAsia="zh-CN"/>
        </w:rPr>
      </w:pPr>
      <w:r>
        <w:rPr>
          <w:rFonts w:hint="eastAsia" w:ascii="楷体_GB2312" w:hAnsi="楷体_GB2312" w:eastAsia="楷体_GB2312" w:cs="楷体_GB2312"/>
          <w:b w:val="0"/>
          <w:bCs w:val="0"/>
          <w:iCs/>
          <w:color w:val="000000"/>
          <w:sz w:val="32"/>
          <w:szCs w:val="32"/>
          <w:highlight w:val="none"/>
          <w:lang w:val="en-US" w:eastAsia="zh-CN"/>
        </w:rPr>
        <w:t>工业</w:t>
      </w:r>
      <w:r>
        <w:rPr>
          <w:rFonts w:hint="default" w:ascii="楷体_GB2312" w:hAnsi="楷体_GB2312" w:eastAsia="楷体_GB2312" w:cs="楷体_GB2312"/>
          <w:b w:val="0"/>
          <w:bCs w:val="0"/>
          <w:iCs/>
          <w:color w:val="000000"/>
          <w:sz w:val="32"/>
          <w:szCs w:val="32"/>
          <w:highlight w:val="none"/>
          <w:lang w:val="en-US" w:eastAsia="zh-CN"/>
        </w:rPr>
        <w:t>用地的宗地地价计算公式</w:t>
      </w:r>
    </w:p>
    <w:p>
      <w:pPr>
        <w:ind w:firstLine="56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集体工业用地地面地价=集体工业级别基准地价×期日修正系数×容积率修正×（1+区域因素修正系数之和）×（1+其他个别因素修正系数之和）×土地剩余使用年期修正系数±开发程度修正值</w:t>
      </w:r>
    </w:p>
    <w:p>
      <w:pPr>
        <w:ind w:firstLine="56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总地价=集体工业用地单位面积地价×土地总面积</w:t>
      </w:r>
    </w:p>
    <w:p>
      <w:pPr>
        <w:pStyle w:val="3"/>
        <w:keepNext w:val="0"/>
        <w:keepLines w:val="0"/>
        <w:pageBreakBefore w:val="0"/>
        <w:widowControl w:val="0"/>
        <w:numPr>
          <w:ilvl w:val="0"/>
          <w:numId w:val="0"/>
        </w:numPr>
        <w:tabs>
          <w:tab w:val="left" w:pos="4680"/>
        </w:tabs>
        <w:kinsoku/>
        <w:wordWrap/>
        <w:overflowPunct/>
        <w:topLinePunct w:val="0"/>
        <w:autoSpaceDE/>
        <w:autoSpaceDN/>
        <w:bidi w:val="0"/>
        <w:spacing w:before="0" w:after="0" w:line="560" w:lineRule="exact"/>
        <w:ind w:firstLine="640" w:firstLineChars="200"/>
        <w:textAlignment w:val="auto"/>
        <w:rPr>
          <w:rFonts w:hint="eastAsia" w:ascii="楷体_GB2312" w:hAnsi="楷体_GB2312" w:eastAsia="楷体_GB2312" w:cs="楷体_GB2312"/>
          <w:b w:val="0"/>
          <w:bCs w:val="0"/>
          <w:iCs/>
          <w:color w:val="000000"/>
          <w:sz w:val="32"/>
          <w:szCs w:val="32"/>
          <w:highlight w:val="none"/>
          <w:lang w:val="en-US" w:eastAsia="zh-CN"/>
        </w:rPr>
      </w:pPr>
      <w:bookmarkStart w:id="78" w:name="_Toc30130"/>
      <w:r>
        <w:rPr>
          <w:rFonts w:hint="eastAsia" w:ascii="楷体_GB2312" w:hAnsi="楷体_GB2312" w:eastAsia="楷体_GB2312" w:cs="楷体_GB2312"/>
          <w:b w:val="0"/>
          <w:bCs w:val="0"/>
          <w:iCs/>
          <w:color w:val="000000"/>
          <w:sz w:val="32"/>
          <w:szCs w:val="32"/>
          <w:highlight w:val="none"/>
          <w:lang w:val="en-US" w:eastAsia="zh-CN"/>
        </w:rPr>
        <w:t>（四）特殊处理办法</w:t>
      </w:r>
      <w:bookmarkEnd w:id="78"/>
    </w:p>
    <w:p>
      <w:pPr>
        <w:pStyle w:val="3"/>
        <w:keepNext w:val="0"/>
        <w:keepLines w:val="0"/>
        <w:pageBreakBefore w:val="0"/>
        <w:widowControl w:val="0"/>
        <w:numPr>
          <w:ilvl w:val="0"/>
          <w:numId w:val="0"/>
        </w:numPr>
        <w:tabs>
          <w:tab w:val="left" w:pos="4680"/>
        </w:tabs>
        <w:kinsoku/>
        <w:wordWrap/>
        <w:overflowPunct/>
        <w:topLinePunct w:val="0"/>
        <w:autoSpaceDE/>
        <w:autoSpaceDN/>
        <w:bidi w:val="0"/>
        <w:spacing w:before="0" w:after="0" w:line="560" w:lineRule="exact"/>
        <w:ind w:firstLine="620" w:firstLineChars="200"/>
        <w:textAlignment w:val="auto"/>
        <w:rPr>
          <w:rFonts w:hint="eastAsia" w:ascii="仿宋_GB2312" w:hAnsi="仿宋_GB2312" w:eastAsia="仿宋_GB2312" w:cs="仿宋_GB2312"/>
          <w:b w:val="0"/>
          <w:bCs w:val="0"/>
          <w:color w:val="auto"/>
          <w:spacing w:val="-5"/>
          <w:kern w:val="0"/>
          <w:sz w:val="32"/>
          <w:szCs w:val="32"/>
          <w:highlight w:val="none"/>
          <w:lang w:val="en-US" w:eastAsia="zh-CN"/>
        </w:rPr>
      </w:pPr>
      <w:bookmarkStart w:id="79" w:name="_Toc19979"/>
      <w:r>
        <w:rPr>
          <w:rFonts w:hint="eastAsia" w:ascii="仿宋_GB2312" w:hAnsi="仿宋_GB2312" w:eastAsia="仿宋_GB2312" w:cs="仿宋_GB2312"/>
          <w:b w:val="0"/>
          <w:bCs w:val="0"/>
          <w:color w:val="auto"/>
          <w:spacing w:val="-5"/>
          <w:kern w:val="0"/>
          <w:sz w:val="32"/>
          <w:szCs w:val="32"/>
          <w:highlight w:val="none"/>
          <w:lang w:val="en-US" w:eastAsia="zh-CN"/>
        </w:rPr>
        <w:t>1.当一宗地同时兼容不同土地用途时，需分别计算宗地内各种用途的地价，宗地的总地价等于各种用途的地价之和。</w:t>
      </w:r>
    </w:p>
    <w:p>
      <w:pPr>
        <w:pStyle w:val="3"/>
        <w:keepNext w:val="0"/>
        <w:keepLines w:val="0"/>
        <w:pageBreakBefore w:val="0"/>
        <w:widowControl w:val="0"/>
        <w:numPr>
          <w:ilvl w:val="0"/>
          <w:numId w:val="0"/>
        </w:numPr>
        <w:tabs>
          <w:tab w:val="left" w:pos="4680"/>
        </w:tabs>
        <w:kinsoku/>
        <w:wordWrap/>
        <w:overflowPunct/>
        <w:topLinePunct w:val="0"/>
        <w:autoSpaceDE/>
        <w:autoSpaceDN/>
        <w:bidi w:val="0"/>
        <w:spacing w:before="0" w:after="0" w:line="560" w:lineRule="exact"/>
        <w:ind w:firstLine="620" w:firstLineChars="200"/>
        <w:textAlignment w:val="auto"/>
        <w:rPr>
          <w:rFonts w:hint="default" w:ascii="仿宋_GB2312" w:hAnsi="仿宋_GB2312" w:eastAsia="仿宋_GB2312" w:cs="仿宋_GB2312"/>
          <w:b w:val="0"/>
          <w:bCs w:val="0"/>
          <w:color w:val="auto"/>
          <w:spacing w:val="-5"/>
          <w:kern w:val="0"/>
          <w:sz w:val="32"/>
          <w:szCs w:val="32"/>
          <w:highlight w:val="none"/>
          <w:lang w:val="en-US" w:eastAsia="zh-CN"/>
        </w:rPr>
      </w:pPr>
      <w:r>
        <w:rPr>
          <w:rFonts w:hint="eastAsia" w:ascii="仿宋_GB2312" w:hAnsi="仿宋_GB2312" w:eastAsia="仿宋_GB2312" w:cs="仿宋_GB2312"/>
          <w:b w:val="0"/>
          <w:bCs w:val="0"/>
          <w:color w:val="auto"/>
          <w:spacing w:val="-5"/>
          <w:kern w:val="0"/>
          <w:sz w:val="32"/>
          <w:szCs w:val="32"/>
          <w:highlight w:val="none"/>
          <w:lang w:val="en-US" w:eastAsia="zh-CN"/>
        </w:rPr>
        <w:t>2.对某一土地级别界线而言，它既是上一级土地级的下界线，又是下一级土地级的上界线。一宗完整土地的规划利用具有统一性，用地效益也依赖于各建设项目的整体发挥。为便于地价管理，方便成果使用，对宗地界线跨多个级别的情况，本报告建议在进行宗地地价评估时，原则上取该宗地所处的较高级别基准地价或者按照各个级别的面积加权测算出基准地价进行评估</w:t>
      </w:r>
      <w:bookmarkEnd w:id="0"/>
      <w:bookmarkEnd w:id="1"/>
      <w:bookmarkEnd w:id="2"/>
      <w:bookmarkEnd w:id="33"/>
      <w:bookmarkEnd w:id="34"/>
      <w:bookmarkEnd w:id="35"/>
      <w:bookmarkEnd w:id="79"/>
      <w:r>
        <w:rPr>
          <w:rFonts w:hint="eastAsia" w:ascii="仿宋_GB2312" w:hAnsi="仿宋_GB2312" w:eastAsia="仿宋_GB2312" w:cs="仿宋_GB2312"/>
          <w:b w:val="0"/>
          <w:bCs w:val="0"/>
          <w:color w:val="auto"/>
          <w:spacing w:val="-5"/>
          <w:kern w:val="0"/>
          <w:sz w:val="32"/>
          <w:szCs w:val="32"/>
          <w:highlight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6953368-7D2E-45DA-9786-9F30B60C60DF}"/>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7AAED48-2F63-471E-9960-8340A8AB105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53FAF19B-E5C0-40BB-BE4F-752A7398A930}"/>
  </w:font>
  <w:font w:name="仿宋_GB2312">
    <w:panose1 w:val="02010609030101010101"/>
    <w:charset w:val="86"/>
    <w:family w:val="modern"/>
    <w:pitch w:val="default"/>
    <w:sig w:usb0="00000001" w:usb1="080E0000" w:usb2="00000000" w:usb3="00000000" w:csb0="00040000" w:csb1="00000000"/>
    <w:embedRegular r:id="rId4" w:fontKey="{3F8B83D5-A6B0-4ABE-853F-C9A0B6C413E0}"/>
  </w:font>
  <w:font w:name="仿宋">
    <w:panose1 w:val="02010609060101010101"/>
    <w:charset w:val="86"/>
    <w:family w:val="modern"/>
    <w:pitch w:val="default"/>
    <w:sig w:usb0="800002BF" w:usb1="38CF7CFA" w:usb2="00000016" w:usb3="00000000" w:csb0="00040001" w:csb1="00000000"/>
    <w:embedRegular r:id="rId5" w:fontKey="{D94E4F38-8B1D-49DA-81E3-B3650E137792}"/>
  </w:font>
  <w:font w:name="方正小标宋简体">
    <w:panose1 w:val="03000509000000000000"/>
    <w:charset w:val="86"/>
    <w:family w:val="auto"/>
    <w:pitch w:val="default"/>
    <w:sig w:usb0="00000001" w:usb1="080E0000" w:usb2="00000000" w:usb3="00000000" w:csb0="00040000" w:csb1="00000000"/>
    <w:embedRegular r:id="rId6" w:fontKey="{BA3F7B14-9424-4126-A07B-6D6BD6829729}"/>
  </w:font>
  <w:font w:name="楷体_GB2312">
    <w:panose1 w:val="02010609030101010101"/>
    <w:charset w:val="86"/>
    <w:family w:val="modern"/>
    <w:pitch w:val="default"/>
    <w:sig w:usb0="00000001" w:usb1="080E0000" w:usb2="00000000" w:usb3="00000000" w:csb0="00040000" w:csb1="00000000"/>
    <w:embedRegular r:id="rId7" w:fontKey="{18ACC232-5433-4705-B7FD-E3DFD26AE6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20" w:leftChars="200" w:right="420" w:rightChars="200"/>
      <w:rPr>
        <w:rStyle w:val="18"/>
        <w:rFonts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ind w:left="420" w:leftChars="200" w:right="420" w:rightChars="200"/>
                          </w:pPr>
                          <w:r>
                            <w:rPr>
                              <w:rStyle w:val="18"/>
                              <w:rFonts w:eastAsia="仿宋_GB2312"/>
                              <w:sz w:val="28"/>
                              <w:szCs w:val="28"/>
                            </w:rPr>
                            <w:t xml:space="preserve">— </w:t>
                          </w:r>
                          <w:r>
                            <w:rPr>
                              <w:rFonts w:eastAsia="仿宋_GB2312"/>
                              <w:sz w:val="28"/>
                              <w:szCs w:val="28"/>
                            </w:rPr>
                            <w:fldChar w:fldCharType="begin"/>
                          </w:r>
                          <w:r>
                            <w:rPr>
                              <w:rStyle w:val="18"/>
                              <w:rFonts w:eastAsia="仿宋_GB2312"/>
                              <w:sz w:val="28"/>
                              <w:szCs w:val="28"/>
                            </w:rPr>
                            <w:instrText xml:space="preserve">PAGE  </w:instrText>
                          </w:r>
                          <w:r>
                            <w:rPr>
                              <w:rFonts w:eastAsia="仿宋_GB2312"/>
                              <w:sz w:val="28"/>
                              <w:szCs w:val="28"/>
                            </w:rPr>
                            <w:fldChar w:fldCharType="separate"/>
                          </w:r>
                          <w:r>
                            <w:rPr>
                              <w:rStyle w:val="18"/>
                              <w:rFonts w:eastAsia="仿宋_GB2312"/>
                              <w:sz w:val="28"/>
                              <w:szCs w:val="28"/>
                            </w:rPr>
                            <w:t>2</w:t>
                          </w:r>
                          <w:r>
                            <w:rPr>
                              <w:rFonts w:eastAsia="仿宋_GB2312"/>
                              <w:sz w:val="28"/>
                              <w:szCs w:val="28"/>
                            </w:rPr>
                            <w:fldChar w:fldCharType="end"/>
                          </w:r>
                          <w:r>
                            <w:rPr>
                              <w:rStyle w:val="18"/>
                              <w:rFonts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pPr>
                      <w:pStyle w:val="11"/>
                      <w:ind w:left="420" w:leftChars="200" w:right="420" w:rightChars="200"/>
                    </w:pPr>
                    <w:r>
                      <w:rPr>
                        <w:rStyle w:val="18"/>
                        <w:rFonts w:eastAsia="仿宋_GB2312"/>
                        <w:sz w:val="28"/>
                        <w:szCs w:val="28"/>
                      </w:rPr>
                      <w:t xml:space="preserve">— </w:t>
                    </w:r>
                    <w:r>
                      <w:rPr>
                        <w:rFonts w:eastAsia="仿宋_GB2312"/>
                        <w:sz w:val="28"/>
                        <w:szCs w:val="28"/>
                      </w:rPr>
                      <w:fldChar w:fldCharType="begin"/>
                    </w:r>
                    <w:r>
                      <w:rPr>
                        <w:rStyle w:val="18"/>
                        <w:rFonts w:eastAsia="仿宋_GB2312"/>
                        <w:sz w:val="28"/>
                        <w:szCs w:val="28"/>
                      </w:rPr>
                      <w:instrText xml:space="preserve">PAGE  </w:instrText>
                    </w:r>
                    <w:r>
                      <w:rPr>
                        <w:rFonts w:eastAsia="仿宋_GB2312"/>
                        <w:sz w:val="28"/>
                        <w:szCs w:val="28"/>
                      </w:rPr>
                      <w:fldChar w:fldCharType="separate"/>
                    </w:r>
                    <w:r>
                      <w:rPr>
                        <w:rStyle w:val="18"/>
                        <w:rFonts w:eastAsia="仿宋_GB2312"/>
                        <w:sz w:val="28"/>
                        <w:szCs w:val="28"/>
                      </w:rPr>
                      <w:t>2</w:t>
                    </w:r>
                    <w:r>
                      <w:rPr>
                        <w:rFonts w:eastAsia="仿宋_GB2312"/>
                        <w:sz w:val="28"/>
                        <w:szCs w:val="28"/>
                      </w:rPr>
                      <w:fldChar w:fldCharType="end"/>
                    </w:r>
                    <w:r>
                      <w:rPr>
                        <w:rStyle w:val="18"/>
                        <w:rFonts w:eastAsia="仿宋_GB2312"/>
                        <w:sz w:val="28"/>
                        <w:szCs w:val="28"/>
                      </w:rPr>
                      <w:t xml:space="preserve"> —</w:t>
                    </w:r>
                  </w:p>
                </w:txbxContent>
              </v:textbox>
            </v:shape>
          </w:pict>
        </mc:Fallback>
      </mc:AlternateContent>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spacing w:before="72" w:after="7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9CBE5"/>
    <w:multiLevelType w:val="singleLevel"/>
    <w:tmpl w:val="9C19CBE5"/>
    <w:lvl w:ilvl="0" w:tentative="0">
      <w:start w:val="1"/>
      <w:numFmt w:val="decimal"/>
      <w:suff w:val="space"/>
      <w:lvlText w:val="%1."/>
      <w:lvlJc w:val="left"/>
      <w:pPr>
        <w:ind w:left="425" w:hanging="425"/>
      </w:pPr>
      <w:rPr>
        <w:rFonts w:hint="default"/>
      </w:rPr>
    </w:lvl>
  </w:abstractNum>
  <w:abstractNum w:abstractNumId="1">
    <w:nsid w:val="D89A6399"/>
    <w:multiLevelType w:val="multilevel"/>
    <w:tmpl w:val="D89A6399"/>
    <w:lvl w:ilvl="0" w:tentative="0">
      <w:start w:val="1"/>
      <w:numFmt w:val="decimal"/>
      <w:suff w:val="space"/>
      <w:lvlText w:val="表%1"/>
      <w:lvlJc w:val="left"/>
      <w:pPr>
        <w:tabs>
          <w:tab w:val="left" w:pos="0"/>
        </w:tabs>
        <w:ind w:left="2831" w:hanging="1697"/>
      </w:pPr>
      <w:rPr>
        <w:rFonts w:hint="default" w:ascii="仿宋" w:hAnsi="仿宋" w:eastAsia="仿宋_GB2312" w:cs="仿宋"/>
        <w:b w:val="0"/>
        <w:i w:val="0"/>
        <w:sz w:val="32"/>
        <w:szCs w:val="24"/>
      </w:rPr>
    </w:lvl>
    <w:lvl w:ilvl="1" w:tentative="0">
      <w:start w:val="1"/>
      <w:numFmt w:val="lowerLetter"/>
      <w:lvlText w:val="%2)"/>
      <w:lvlJc w:val="left"/>
      <w:pPr>
        <w:ind w:left="3251" w:hanging="420"/>
      </w:pPr>
      <w:rPr>
        <w:rFonts w:hint="eastAsia"/>
      </w:rPr>
    </w:lvl>
    <w:lvl w:ilvl="2" w:tentative="0">
      <w:start w:val="1"/>
      <w:numFmt w:val="lowerRoman"/>
      <w:lvlText w:val="%3."/>
      <w:lvlJc w:val="right"/>
      <w:pPr>
        <w:ind w:left="3671" w:hanging="420"/>
      </w:pPr>
      <w:rPr>
        <w:rFonts w:hint="eastAsia"/>
      </w:rPr>
    </w:lvl>
    <w:lvl w:ilvl="3" w:tentative="0">
      <w:start w:val="1"/>
      <w:numFmt w:val="decimal"/>
      <w:lvlText w:val="%4."/>
      <w:lvlJc w:val="left"/>
      <w:pPr>
        <w:ind w:left="4091" w:hanging="420"/>
      </w:pPr>
      <w:rPr>
        <w:rFonts w:hint="eastAsia"/>
      </w:rPr>
    </w:lvl>
    <w:lvl w:ilvl="4" w:tentative="0">
      <w:start w:val="1"/>
      <w:numFmt w:val="lowerLetter"/>
      <w:lvlText w:val="%5)"/>
      <w:lvlJc w:val="left"/>
      <w:pPr>
        <w:ind w:left="4511" w:hanging="420"/>
      </w:pPr>
      <w:rPr>
        <w:rFonts w:hint="eastAsia"/>
      </w:rPr>
    </w:lvl>
    <w:lvl w:ilvl="5" w:tentative="0">
      <w:start w:val="1"/>
      <w:numFmt w:val="lowerRoman"/>
      <w:lvlText w:val="%6."/>
      <w:lvlJc w:val="right"/>
      <w:pPr>
        <w:ind w:left="4931" w:hanging="420"/>
      </w:pPr>
      <w:rPr>
        <w:rFonts w:hint="eastAsia"/>
      </w:rPr>
    </w:lvl>
    <w:lvl w:ilvl="6" w:tentative="0">
      <w:start w:val="1"/>
      <w:numFmt w:val="decimal"/>
      <w:lvlText w:val="%7."/>
      <w:lvlJc w:val="left"/>
      <w:pPr>
        <w:ind w:left="5351" w:hanging="420"/>
      </w:pPr>
      <w:rPr>
        <w:rFonts w:hint="eastAsia"/>
      </w:rPr>
    </w:lvl>
    <w:lvl w:ilvl="7" w:tentative="0">
      <w:start w:val="1"/>
      <w:numFmt w:val="lowerLetter"/>
      <w:lvlText w:val="%8)"/>
      <w:lvlJc w:val="left"/>
      <w:pPr>
        <w:ind w:left="5771" w:hanging="420"/>
      </w:pPr>
      <w:rPr>
        <w:rFonts w:hint="eastAsia"/>
      </w:rPr>
    </w:lvl>
    <w:lvl w:ilvl="8" w:tentative="0">
      <w:start w:val="1"/>
      <w:numFmt w:val="lowerRoman"/>
      <w:lvlText w:val="%9."/>
      <w:lvlJc w:val="right"/>
      <w:pPr>
        <w:ind w:left="6191" w:hanging="420"/>
      </w:pPr>
      <w:rPr>
        <w:rFonts w:hint="eastAsia"/>
      </w:rPr>
    </w:lvl>
  </w:abstractNum>
  <w:abstractNum w:abstractNumId="2">
    <w:nsid w:val="1032495E"/>
    <w:multiLevelType w:val="singleLevel"/>
    <w:tmpl w:val="1032495E"/>
    <w:lvl w:ilvl="0" w:tentative="0">
      <w:start w:val="1"/>
      <w:numFmt w:val="decimal"/>
      <w:suff w:val="space"/>
      <w:lvlText w:val="%1."/>
      <w:lvlJc w:val="left"/>
      <w:pPr>
        <w:ind w:left="425" w:hanging="425"/>
      </w:pPr>
      <w:rPr>
        <w:rFonts w:hint="default"/>
      </w:rPr>
    </w:lvl>
  </w:abstractNum>
  <w:abstractNum w:abstractNumId="3">
    <w:nsid w:val="3CA9206F"/>
    <w:multiLevelType w:val="singleLevel"/>
    <w:tmpl w:val="3CA9206F"/>
    <w:lvl w:ilvl="0" w:tentative="0">
      <w:start w:val="2"/>
      <w:numFmt w:val="chineseCounting"/>
      <w:suff w:val="nothing"/>
      <w:lvlText w:val="（%1）"/>
      <w:lvlJc w:val="left"/>
      <w:rPr>
        <w:rFonts w:hint="eastAsia"/>
      </w:rPr>
    </w:lvl>
  </w:abstractNum>
  <w:abstractNum w:abstractNumId="4">
    <w:nsid w:val="41520B85"/>
    <w:multiLevelType w:val="singleLevel"/>
    <w:tmpl w:val="41520B85"/>
    <w:lvl w:ilvl="0" w:tentative="0">
      <w:start w:val="1"/>
      <w:numFmt w:val="decimal"/>
      <w:suff w:val="space"/>
      <w:lvlText w:val="%1."/>
      <w:lvlJc w:val="left"/>
      <w:pPr>
        <w:ind w:left="425" w:hanging="425"/>
      </w:pPr>
      <w:rPr>
        <w:rFonts w:hint="default"/>
      </w:rPr>
    </w:lvl>
  </w:abstractNum>
  <w:abstractNum w:abstractNumId="5">
    <w:nsid w:val="7C950332"/>
    <w:multiLevelType w:val="singleLevel"/>
    <w:tmpl w:val="7C950332"/>
    <w:lvl w:ilvl="0" w:tentative="0">
      <w:start w:val="5"/>
      <w:numFmt w:val="chineseCounting"/>
      <w:suff w:val="nothing"/>
      <w:lvlText w:val="%1、"/>
      <w:lvlJc w:val="left"/>
      <w:rPr>
        <w:rFonts w:hint="eastAsia"/>
      </w:rPr>
    </w:lvl>
  </w:abstractNum>
  <w:abstractNum w:abstractNumId="6">
    <w:nsid w:val="7D5EEDA7"/>
    <w:multiLevelType w:val="singleLevel"/>
    <w:tmpl w:val="7D5EEDA7"/>
    <w:lvl w:ilvl="0" w:tentative="0">
      <w:start w:val="1"/>
      <w:numFmt w:val="decimal"/>
      <w:suff w:val="space"/>
      <w:lvlText w:val="%1."/>
      <w:lvlJc w:val="left"/>
      <w:pPr>
        <w:ind w:left="425" w:hanging="425"/>
      </w:pPr>
      <w:rPr>
        <w:rFonts w:hint="default"/>
      </w:rPr>
    </w:lvl>
  </w:abstractNum>
  <w:num w:numId="1">
    <w:abstractNumId w:val="1"/>
  </w:num>
  <w:num w:numId="2">
    <w:abstractNumId w:val="4"/>
  </w:num>
  <w:num w:numId="3">
    <w:abstractNumId w:val="6"/>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ZDc0ODkxMDg4ZjY4MWUwNzZmYzYwZWQ3YzcxNWEifQ=="/>
  </w:docVars>
  <w:rsids>
    <w:rsidRoot w:val="0CE61A0B"/>
    <w:rsid w:val="0CE61A0B"/>
    <w:rsid w:val="0E236C4D"/>
    <w:rsid w:val="0F9E103F"/>
    <w:rsid w:val="26162FB3"/>
    <w:rsid w:val="3457491A"/>
    <w:rsid w:val="35F450BD"/>
    <w:rsid w:val="36175ECB"/>
    <w:rsid w:val="3B016B55"/>
    <w:rsid w:val="413D038F"/>
    <w:rsid w:val="48AD73B1"/>
    <w:rsid w:val="59E16582"/>
    <w:rsid w:val="60703983"/>
    <w:rsid w:val="68896A60"/>
    <w:rsid w:val="786B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autoSpaceDE w:val="0"/>
      <w:autoSpaceDN w:val="0"/>
      <w:adjustRightInd w:val="0"/>
      <w:spacing w:before="156" w:beforeLines="50" w:after="156" w:afterLines="50"/>
      <w:jc w:val="left"/>
      <w:outlineLvl w:val="2"/>
    </w:pPr>
    <w:rPr>
      <w:rFonts w:eastAsia="仿宋_GB2312"/>
      <w:b/>
      <w:bCs/>
      <w:kern w:val="0"/>
      <w:sz w:val="28"/>
      <w:szCs w:val="28"/>
    </w:rPr>
  </w:style>
  <w:style w:type="paragraph" w:styleId="5">
    <w:name w:val="heading 4"/>
    <w:basedOn w:val="1"/>
    <w:next w:val="1"/>
    <w:qFormat/>
    <w:uiPriority w:val="0"/>
    <w:pPr>
      <w:keepNext/>
      <w:keepLines/>
      <w:spacing w:beforeLines="0" w:afterLines="0" w:line="376" w:lineRule="auto"/>
      <w:ind w:firstLine="0" w:firstLineChars="0"/>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qFormat/>
    <w:uiPriority w:val="99"/>
    <w:pPr>
      <w:spacing w:before="93" w:beforeLines="30" w:after="93" w:afterLines="30" w:line="300" w:lineRule="auto"/>
      <w:ind w:firstLine="480" w:firstLineChars="200"/>
    </w:pPr>
    <w:rPr>
      <w:rFonts w:eastAsia="仿宋_GB2312"/>
      <w:kern w:val="28"/>
      <w:sz w:val="24"/>
    </w:rPr>
  </w:style>
  <w:style w:type="paragraph" w:styleId="9">
    <w:name w:val="Body Text Indent"/>
    <w:basedOn w:val="1"/>
    <w:qFormat/>
    <w:uiPriority w:val="0"/>
    <w:pPr>
      <w:spacing w:before="93" w:beforeLines="30" w:after="93" w:afterLines="30" w:line="300" w:lineRule="auto"/>
      <w:ind w:left="420" w:leftChars="200" w:firstLine="480" w:firstLineChars="200"/>
    </w:pPr>
    <w:rPr>
      <w:rFonts w:eastAsia="仿宋_GB2312"/>
      <w:kern w:val="28"/>
      <w:sz w:val="24"/>
    </w:rPr>
  </w:style>
  <w:style w:type="paragraph" w:styleId="10">
    <w:name w:val="Plain Text"/>
    <w:basedOn w:val="1"/>
    <w:qFormat/>
    <w:uiPriority w:val="0"/>
    <w:pPr>
      <w:spacing w:beforeLines="0" w:afterLines="0" w:line="240" w:lineRule="auto"/>
      <w:ind w:firstLine="0" w:firstLineChars="0"/>
      <w:jc w:val="center"/>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spacing w:before="93" w:beforeLines="30" w:after="93" w:afterLines="30"/>
      <w:ind w:firstLine="480" w:firstLineChars="200"/>
      <w:jc w:val="center"/>
    </w:pPr>
    <w:rPr>
      <w:rFonts w:eastAsia="仿宋_GB2312"/>
      <w:kern w:val="28"/>
      <w:sz w:val="18"/>
      <w:szCs w:val="18"/>
    </w:rPr>
  </w:style>
  <w:style w:type="paragraph" w:styleId="13">
    <w:name w:val="Title"/>
    <w:basedOn w:val="1"/>
    <w:next w:val="1"/>
    <w:qFormat/>
    <w:uiPriority w:val="0"/>
    <w:pPr>
      <w:spacing w:before="240" w:after="60"/>
      <w:jc w:val="center"/>
      <w:outlineLvl w:val="0"/>
    </w:pPr>
    <w:rPr>
      <w:rFonts w:ascii="Arial" w:hAnsi="Arial" w:cs="Arial"/>
      <w:b/>
      <w:bCs/>
      <w:sz w:val="32"/>
      <w:szCs w:val="32"/>
    </w:rPr>
  </w:style>
  <w:style w:type="paragraph" w:styleId="14">
    <w:name w:val="Body Text First Indent 2"/>
    <w:basedOn w:val="9"/>
    <w:qFormat/>
    <w:uiPriority w:val="0"/>
    <w:pPr>
      <w:spacing w:before="0" w:beforeLines="0" w:after="0" w:afterLines="0" w:line="240" w:lineRule="auto"/>
      <w:ind w:firstLine="420"/>
    </w:pPr>
    <w:rPr>
      <w:kern w:val="2"/>
      <w:sz w:val="21"/>
    </w:rPr>
  </w:style>
  <w:style w:type="table" w:styleId="16">
    <w:name w:val="Table Grid"/>
    <w:basedOn w:val="15"/>
    <w:qFormat/>
    <w:uiPriority w:val="39"/>
    <w:pPr>
      <w:widowControl w:val="0"/>
      <w:spacing w:before="93" w:beforeLines="30" w:after="93" w:afterLines="30" w:line="300" w:lineRule="auto"/>
      <w:ind w:firstLine="480" w:firstLineChars="20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正文（缩进）"/>
    <w:basedOn w:val="1"/>
    <w:qFormat/>
    <w:uiPriority w:val="99"/>
    <w:pPr>
      <w:spacing w:before="156" w:after="156" w:line="240" w:lineRule="auto"/>
    </w:pPr>
  </w:style>
  <w:style w:type="paragraph" w:styleId="20">
    <w:name w:val="No Spacing"/>
    <w:qFormat/>
    <w:uiPriority w:val="1"/>
    <w:pPr>
      <w:widowControl w:val="0"/>
      <w:spacing w:line="312" w:lineRule="auto"/>
      <w:ind w:firstLine="200" w:firstLineChars="200"/>
      <w:jc w:val="both"/>
    </w:pPr>
    <w:rPr>
      <w:rFonts w:ascii="Calibri" w:hAnsi="Calibri" w:eastAsia="宋体" w:cs="Times New Roman"/>
      <w:kern w:val="2"/>
      <w:sz w:val="24"/>
      <w:szCs w:val="22"/>
      <w:lang w:val="en-US" w:eastAsia="zh-CN" w:bidi="ar-SA"/>
    </w:rPr>
  </w:style>
  <w:style w:type="paragraph" w:customStyle="1" w:styleId="21">
    <w:name w:val="无间隔1"/>
    <w:qFormat/>
    <w:uiPriority w:val="1"/>
    <w:pPr>
      <w:widowControl w:val="0"/>
      <w:spacing w:line="312" w:lineRule="auto"/>
      <w:ind w:firstLine="200" w:firstLineChars="200"/>
      <w:jc w:val="both"/>
    </w:pPr>
    <w:rPr>
      <w:rFonts w:ascii="Calibri" w:hAnsi="Calibri" w:eastAsia="宋体" w:cs="Times New Roman"/>
      <w:kern w:val="2"/>
      <w:sz w:val="24"/>
      <w:szCs w:val="22"/>
      <w:lang w:val="en-US" w:eastAsia="zh-CN" w:bidi="ar-SA"/>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正文new"/>
    <w:basedOn w:val="1"/>
    <w:qFormat/>
    <w:uiPriority w:val="0"/>
    <w:pPr>
      <w:adjustRightInd w:val="0"/>
      <w:snapToGrid w:val="0"/>
      <w:ind w:firstLine="480" w:firstLineChars="200"/>
    </w:pPr>
    <w:rPr>
      <w:szCs w:val="21"/>
    </w:rPr>
  </w:style>
  <w:style w:type="paragraph" w:customStyle="1" w:styleId="24">
    <w:name w:val="纯文本1"/>
    <w:basedOn w:val="1"/>
    <w:qFormat/>
    <w:uiPriority w:val="0"/>
    <w:pPr>
      <w:adjustRightInd w:val="0"/>
      <w:textAlignment w:val="baseline"/>
    </w:pPr>
    <w:rPr>
      <w:rFonts w:ascii="宋体"/>
      <w:kern w:val="0"/>
      <w:szCs w:val="20"/>
    </w:rPr>
  </w:style>
  <w:style w:type="character" w:customStyle="1" w:styleId="25">
    <w:name w:val="font61"/>
    <w:qFormat/>
    <w:uiPriority w:val="0"/>
    <w:rPr>
      <w:rFonts w:hint="default" w:ascii="Times New Roman" w:hAnsi="Times New Roman" w:cs="Times New Roman"/>
      <w:b/>
      <w:bCs/>
      <w:color w:val="000000"/>
      <w:sz w:val="21"/>
      <w:szCs w:val="21"/>
      <w:u w:val="none"/>
    </w:rPr>
  </w:style>
  <w:style w:type="character" w:customStyle="1" w:styleId="26">
    <w:name w:val="font41"/>
    <w:qFormat/>
    <w:uiPriority w:val="0"/>
    <w:rPr>
      <w:rFonts w:hint="default" w:ascii="仿宋_GB2312" w:eastAsia="仿宋_GB2312" w:cs="仿宋_GB2312"/>
      <w:b/>
      <w:bCs/>
      <w:color w:val="000000"/>
      <w:sz w:val="21"/>
      <w:szCs w:val="21"/>
      <w:u w:val="none"/>
    </w:rPr>
  </w:style>
  <w:style w:type="paragraph" w:customStyle="1" w:styleId="27">
    <w:name w:val="5正文"/>
    <w:basedOn w:val="1"/>
    <w:qFormat/>
    <w:uiPriority w:val="0"/>
    <w:pPr>
      <w:spacing w:line="300" w:lineRule="auto"/>
      <w:ind w:firstLine="200" w:firstLineChars="200"/>
    </w:pPr>
    <w:rPr>
      <w:kern w:val="0"/>
    </w:rPr>
  </w:style>
  <w:style w:type="paragraph" w:customStyle="1" w:styleId="28">
    <w:name w:val="地价报告正文"/>
    <w:qFormat/>
    <w:uiPriority w:val="0"/>
    <w:pPr>
      <w:numPr>
        <w:ilvl w:val="2"/>
        <w:numId w:val="0"/>
      </w:numPr>
      <w:spacing w:line="500" w:lineRule="exact"/>
      <w:ind w:firstLine="643" w:firstLineChars="200"/>
      <w:jc w:val="both"/>
      <w:outlineLvl w:val="9"/>
    </w:pPr>
    <w:rPr>
      <w:rFonts w:hint="default" w:ascii="Times New Roman" w:hAnsi="Times New Roman" w:eastAsia="仿宋" w:cstheme="minorBidi"/>
      <w:sz w:val="28"/>
    </w:rPr>
  </w:style>
  <w:style w:type="paragraph" w:customStyle="1" w:styleId="29">
    <w:name w:val="表格正文"/>
    <w:basedOn w:val="1"/>
    <w:qFormat/>
    <w:uiPriority w:val="0"/>
    <w:pPr>
      <w:spacing w:beforeLines="0" w:afterLines="0" w:line="240" w:lineRule="auto"/>
      <w:ind w:firstLine="0" w:firstLineChars="0"/>
      <w:jc w:val="center"/>
    </w:pPr>
    <w:rPr>
      <w:rFonts w:ascii="仿宋_GB2312" w:hAnsi="宋体"/>
      <w:w w:val="90"/>
      <w:kern w:val="2"/>
      <w:szCs w:val="28"/>
    </w:rPr>
  </w:style>
  <w:style w:type="paragraph" w:customStyle="1" w:styleId="30">
    <w:name w:val="Table Paragraph"/>
    <w:basedOn w:val="1"/>
    <w:qFormat/>
    <w:uiPriority w:val="1"/>
    <w:pPr>
      <w:jc w:val="center"/>
    </w:pPr>
    <w:rPr>
      <w:rFonts w:ascii="宋体" w:hAnsi="宋体" w:eastAsia="宋体" w:cs="宋体"/>
      <w:lang w:val="zh-CN" w:bidi="zh-CN"/>
    </w:rPr>
  </w:style>
  <w:style w:type="table" w:customStyle="1" w:styleId="31">
    <w:name w:val="Table Normal"/>
    <w:unhideWhenUsed/>
    <w:qFormat/>
    <w:uiPriority w:val="0"/>
    <w:tblPr>
      <w:tblCellMar>
        <w:top w:w="0" w:type="dxa"/>
        <w:left w:w="0" w:type="dxa"/>
        <w:bottom w:w="0" w:type="dxa"/>
        <w:right w:w="0" w:type="dxa"/>
      </w:tblCellMar>
    </w:tblPr>
  </w:style>
  <w:style w:type="paragraph" w:customStyle="1" w:styleId="32">
    <w:name w:val="表格"/>
    <w:basedOn w:val="1"/>
    <w:qFormat/>
    <w:uiPriority w:val="0"/>
    <w:pPr>
      <w:widowControl/>
      <w:ind w:firstLine="0" w:firstLineChars="0"/>
      <w:jc w:val="left"/>
    </w:pPr>
    <w:rPr>
      <w:rFonts w:ascii="宋体" w:eastAsia="宋体"/>
      <w:color w:val="000000"/>
      <w:sz w:val="21"/>
      <w:szCs w:val="20"/>
    </w:rPr>
  </w:style>
  <w:style w:type="character" w:customStyle="1" w:styleId="33">
    <w:name w:val="font21"/>
    <w:basedOn w:val="1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1487</Words>
  <Characters>1579</Characters>
  <Lines>0</Lines>
  <Paragraphs>0</Paragraphs>
  <TotalTime>26</TotalTime>
  <ScaleCrop>false</ScaleCrop>
  <LinksUpToDate>false</LinksUpToDate>
  <CharactersWithSpaces>1579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2024-09-23T03:14:00Z</dcterms:created>
  <dc:creator>Janny很快乐</dc:creator>
  <cp:lastModifiedBy>张顺广</cp:lastModifiedBy>
  <cp:lastPrinted>2025-08-21T01:52:01Z</cp:lastPrinted>
  <dcterms:modified xsi:type="dcterms:W3CDTF">2025-08-21T01:52:05Z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DB7F5CFC058F4196902DCCB4E6C954FD_13</vt:lpwstr>
  </property>
  <property fmtid="{D5CDD505-2E9C-101B-9397-08002B2CF9AE}" pid="4" name="KSOTemplateDocerSaveRecord">
    <vt:lpwstr>eyJoZGlkIjoiOGY5ZDc0ODkxMDg4ZjY4MWUwNzZmYzYwZWQ3YzcxNWEiLCJ1c2VySWQiOiIzMTg5MjM2NzYifQ==</vt:lpwstr>
  </property>
</Properties>
</file>