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韶关市曲江区审计局主动公开基本目录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Fonts w:hint="eastAsia" w:ascii="黑体" w:hAnsi="黑体" w:eastAsia="黑体" w:cs="黑体"/>
          <w:b w:val="0"/>
          <w:bCs/>
          <w:i w:val="0"/>
          <w:iCs w:val="0"/>
          <w:caps w:val="0"/>
          <w:color w:val="auto"/>
          <w:spacing w:val="0"/>
          <w:sz w:val="32"/>
          <w:szCs w:val="32"/>
        </w:rPr>
      </w:pPr>
      <w:r>
        <w:rPr>
          <w:rStyle w:val="6"/>
          <w:rFonts w:hint="eastAsia" w:ascii="黑体" w:hAnsi="黑体" w:eastAsia="黑体" w:cs="黑体"/>
          <w:b w:val="0"/>
          <w:bCs/>
          <w:i w:val="0"/>
          <w:iCs w:val="0"/>
          <w:caps w:val="0"/>
          <w:color w:val="auto"/>
          <w:spacing w:val="0"/>
          <w:sz w:val="32"/>
          <w:szCs w:val="32"/>
          <w:shd w:val="clear" w:fill="FFFFFF"/>
        </w:rPr>
        <w:t>第一部分 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shd w:val="clear" w:fill="FFFFFF"/>
        </w:rPr>
        <w:t>   </w:t>
      </w:r>
      <w:r>
        <w:rPr>
          <w:rFonts w:hint="eastAsia" w:ascii="黑体" w:hAnsi="黑体" w:eastAsia="黑体" w:cs="黑体"/>
          <w:i w:val="0"/>
          <w:iCs w:val="0"/>
          <w:caps w:val="0"/>
          <w:color w:val="auto"/>
          <w:spacing w:val="0"/>
          <w:sz w:val="32"/>
          <w:szCs w:val="32"/>
          <w:shd w:val="clear" w:fill="FFFFFF"/>
        </w:rPr>
        <w:t xml:space="preserve">    一、主要依据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微软雅黑" w:hAnsi="微软雅黑" w:eastAsia="微软雅黑" w:cs="微软雅黑"/>
          <w:i w:val="0"/>
          <w:iCs w:val="0"/>
          <w:caps w:val="0"/>
          <w:color w:val="auto"/>
          <w:spacing w:val="0"/>
          <w:sz w:val="27"/>
          <w:szCs w:val="27"/>
          <w:shd w:val="clear" w:fill="FFFFFF"/>
        </w:rPr>
        <w:t>     </w:t>
      </w:r>
      <w:r>
        <w:rPr>
          <w:rFonts w:hint="eastAsia" w:ascii="仿宋_GB2312" w:hAnsi="仿宋_GB2312" w:eastAsia="仿宋_GB2312" w:cs="仿宋_GB2312"/>
          <w:i w:val="0"/>
          <w:iCs w:val="0"/>
          <w:caps w:val="0"/>
          <w:color w:val="auto"/>
          <w:spacing w:val="0"/>
          <w:sz w:val="32"/>
          <w:szCs w:val="32"/>
          <w:shd w:val="clear" w:fill="FFFFFF"/>
        </w:rPr>
        <w:t>（一）《中华人民共和国审计法》；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（二）《中华人民共和国政府信息公开条例》；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（三）中共中央办公厅、国务院办公厅《关于全面推进政务公开工作的意见》、《国务院办公厅印发〈关于全面推进政务公开工作的意见〉实施细则的通知》及党中央、国务院关于政务公开的工作规定。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shd w:val="clear" w:fill="FFFFFF"/>
        </w:rPr>
        <w:t xml:space="preserve">  </w:t>
      </w:r>
      <w:r>
        <w:rPr>
          <w:rFonts w:hint="eastAsia" w:ascii="微软雅黑" w:hAnsi="微软雅黑" w:eastAsia="微软雅黑" w:cs="微软雅黑"/>
          <w:i w:val="0"/>
          <w:iCs w:val="0"/>
          <w:caps w:val="0"/>
          <w:color w:val="auto"/>
          <w:spacing w:val="0"/>
          <w:sz w:val="32"/>
          <w:szCs w:val="32"/>
          <w:shd w:val="clear" w:fill="FFFFFF"/>
        </w:rPr>
        <w:t>  </w:t>
      </w:r>
      <w:r>
        <w:rPr>
          <w:rFonts w:hint="eastAsia" w:ascii="微软雅黑" w:hAnsi="微软雅黑" w:eastAsia="微软雅黑" w:cs="微软雅黑"/>
          <w:i w:val="0"/>
          <w:iCs w:val="0"/>
          <w:caps w:val="0"/>
          <w:color w:val="auto"/>
          <w:spacing w:val="0"/>
          <w:sz w:val="32"/>
          <w:szCs w:val="32"/>
          <w:shd w:val="clear" w:fill="FFFFFF"/>
          <w:lang w:val="en-US" w:eastAsia="zh-CN"/>
        </w:rPr>
        <w:t xml:space="preserve"> </w:t>
      </w:r>
      <w:r>
        <w:rPr>
          <w:rFonts w:hint="eastAsia" w:ascii="黑体" w:hAnsi="宋体" w:eastAsia="黑体" w:cs="黑体"/>
          <w:i w:val="0"/>
          <w:iCs w:val="0"/>
          <w:caps w:val="0"/>
          <w:color w:val="auto"/>
          <w:spacing w:val="0"/>
          <w:sz w:val="32"/>
          <w:szCs w:val="32"/>
          <w:shd w:val="clear" w:fill="FFFFFF"/>
        </w:rPr>
        <w:t>二、责任主体、公开时限、方式和监督渠道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微软雅黑" w:hAnsi="微软雅黑" w:eastAsia="微软雅黑" w:cs="微软雅黑"/>
          <w:i w:val="0"/>
          <w:iCs w:val="0"/>
          <w:caps w:val="0"/>
          <w:color w:val="auto"/>
          <w:spacing w:val="0"/>
          <w:sz w:val="27"/>
          <w:szCs w:val="27"/>
          <w:shd w:val="clear" w:fill="FFFFFF"/>
        </w:rPr>
        <w:t xml:space="preserve">    </w:t>
      </w:r>
      <w:r>
        <w:rPr>
          <w:rFonts w:hint="eastAsia" w:ascii="仿宋_GB2312" w:hAnsi="仿宋_GB2312" w:eastAsia="仿宋_GB2312" w:cs="仿宋_GB2312"/>
          <w:i w:val="0"/>
          <w:iCs w:val="0"/>
          <w:caps w:val="0"/>
          <w:color w:val="auto"/>
          <w:spacing w:val="0"/>
          <w:sz w:val="32"/>
          <w:szCs w:val="32"/>
          <w:shd w:val="clear" w:fill="FFFFFF"/>
        </w:rPr>
        <w:t>【责任主体】韶关市曲江区审计局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【公开时限】政府信息形成或者变更之日起20个工作日内（法律、法规、政策文件对政府信息公开的期限另有规定的，从其规定）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【公开方式】通过政府网站主动公开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shd w:val="clear" w:fill="FFFFFF"/>
        </w:rPr>
        <w:t xml:space="preserve">    </w:t>
      </w:r>
      <w:r>
        <w:rPr>
          <w:rFonts w:hint="eastAsia" w:ascii="仿宋_GB2312" w:hAnsi="仿宋_GB2312" w:eastAsia="仿宋_GB2312" w:cs="仿宋_GB2312"/>
          <w:i w:val="0"/>
          <w:iCs w:val="0"/>
          <w:caps w:val="0"/>
          <w:color w:val="auto"/>
          <w:spacing w:val="0"/>
          <w:sz w:val="32"/>
          <w:szCs w:val="32"/>
          <w:shd w:val="clear" w:fill="FFFFFF"/>
        </w:rPr>
        <w:t>【监督渠道】韶关市曲江区人民政府网互动交流平台（</w:t>
      </w:r>
      <w:r>
        <w:rPr>
          <w:rFonts w:hint="eastAsia" w:ascii="仿宋_GB2312" w:hAnsi="仿宋_GB2312" w:eastAsia="仿宋_GB2312" w:cs="仿宋_GB2312"/>
          <w:i w:val="0"/>
          <w:iCs w:val="0"/>
          <w:caps w:val="0"/>
          <w:color w:val="auto"/>
          <w:spacing w:val="0"/>
          <w:sz w:val="32"/>
          <w:szCs w:val="32"/>
          <w:u w:val="single"/>
          <w:shd w:val="clear" w:fill="FFFFFF"/>
        </w:rPr>
        <w:fldChar w:fldCharType="begin"/>
      </w:r>
      <w:r>
        <w:rPr>
          <w:rFonts w:hint="eastAsia" w:ascii="仿宋_GB2312" w:hAnsi="仿宋_GB2312" w:eastAsia="仿宋_GB2312" w:cs="仿宋_GB2312"/>
          <w:i w:val="0"/>
          <w:iCs w:val="0"/>
          <w:caps w:val="0"/>
          <w:color w:val="auto"/>
          <w:spacing w:val="0"/>
          <w:sz w:val="32"/>
          <w:szCs w:val="32"/>
          <w:u w:val="single"/>
          <w:shd w:val="clear" w:fill="FFFFFF"/>
        </w:rPr>
        <w:instrText xml:space="preserve"> HYPERLINK "http://www.qujiang.gov.cn/gzhd/index.html%EF%BC%89%E3%80%81%E7%94%B5%E8%AF%9D%EF%BC%880751-6688425%EF%BC%89" </w:instrText>
      </w:r>
      <w:r>
        <w:rPr>
          <w:rFonts w:hint="eastAsia" w:ascii="仿宋_GB2312" w:hAnsi="仿宋_GB2312" w:eastAsia="仿宋_GB2312" w:cs="仿宋_GB2312"/>
          <w:i w:val="0"/>
          <w:iCs w:val="0"/>
          <w:caps w:val="0"/>
          <w:color w:val="auto"/>
          <w:spacing w:val="0"/>
          <w:sz w:val="32"/>
          <w:szCs w:val="32"/>
          <w:u w:val="single"/>
          <w:shd w:val="clear" w:fill="FFFFFF"/>
        </w:rPr>
        <w:fldChar w:fldCharType="separate"/>
      </w:r>
      <w:r>
        <w:rPr>
          <w:rStyle w:val="7"/>
          <w:rFonts w:hint="eastAsia" w:ascii="仿宋_GB2312" w:hAnsi="仿宋_GB2312" w:eastAsia="仿宋_GB2312" w:cs="仿宋_GB2312"/>
          <w:i w:val="0"/>
          <w:iCs w:val="0"/>
          <w:caps w:val="0"/>
          <w:color w:val="auto"/>
          <w:spacing w:val="0"/>
          <w:sz w:val="32"/>
          <w:szCs w:val="32"/>
          <w:u w:val="single"/>
          <w:shd w:val="clear" w:fill="FFFFFF"/>
        </w:rPr>
        <w:t>http://www.qujiang.gov.cn/gzhd/index.html）、电话（0751-6688425）</w:t>
      </w:r>
      <w:r>
        <w:rPr>
          <w:rFonts w:hint="eastAsia" w:ascii="仿宋_GB2312" w:hAnsi="仿宋_GB2312" w:eastAsia="仿宋_GB2312" w:cs="仿宋_GB2312"/>
          <w:i w:val="0"/>
          <w:iCs w:val="0"/>
          <w:caps w:val="0"/>
          <w:color w:val="auto"/>
          <w:spacing w:val="0"/>
          <w:sz w:val="32"/>
          <w:szCs w:val="32"/>
          <w:u w:val="single"/>
          <w:shd w:val="clear" w:fill="FFFFFF"/>
        </w:rPr>
        <w:fldChar w:fldCharType="end"/>
      </w:r>
    </w:p>
    <w:p>
      <w:pPr>
        <w:rPr>
          <w:rStyle w:val="6"/>
          <w:rFonts w:hint="eastAsia" w:ascii="微软雅黑" w:hAnsi="微软雅黑" w:eastAsia="微软雅黑" w:cs="微软雅黑"/>
          <w:i w:val="0"/>
          <w:iCs w:val="0"/>
          <w:caps w:val="0"/>
          <w:color w:val="auto"/>
          <w:spacing w:val="0"/>
          <w:sz w:val="27"/>
          <w:szCs w:val="27"/>
          <w:shd w:val="clear" w:fill="FFFFFF"/>
        </w:rPr>
      </w:pPr>
      <w:r>
        <w:rPr>
          <w:rStyle w:val="6"/>
          <w:rFonts w:ascii="微软雅黑" w:hAnsi="微软雅黑" w:eastAsia="微软雅黑" w:cs="微软雅黑"/>
          <w:i w:val="0"/>
          <w:iCs w:val="0"/>
          <w:caps w:val="0"/>
          <w:color w:val="auto"/>
          <w:spacing w:val="0"/>
          <w:sz w:val="27"/>
          <w:szCs w:val="27"/>
          <w:shd w:val="clear" w:fill="FFFFFF"/>
        </w:rPr>
        <w:t>第二部分 主动公</w:t>
      </w:r>
      <w:r>
        <w:rPr>
          <w:rStyle w:val="6"/>
          <w:rFonts w:hint="eastAsia" w:ascii="微软雅黑" w:hAnsi="微软雅黑" w:eastAsia="微软雅黑" w:cs="微软雅黑"/>
          <w:i w:val="0"/>
          <w:iCs w:val="0"/>
          <w:caps w:val="0"/>
          <w:color w:val="auto"/>
          <w:spacing w:val="0"/>
          <w:sz w:val="27"/>
          <w:szCs w:val="27"/>
          <w:shd w:val="clear" w:fill="FFFFFF"/>
        </w:rPr>
        <w:t>开基本目录</w:t>
      </w:r>
    </w:p>
    <w:p>
      <w:pPr>
        <w:ind w:firstLine="320" w:firstLineChars="100"/>
        <w:rPr>
          <w:rStyle w:val="6"/>
          <w:rFonts w:hint="eastAsia" w:ascii="仿宋_GB2312" w:hAnsi="仿宋_GB2312" w:eastAsia="仿宋_GB2312" w:cs="仿宋_GB2312"/>
          <w:b w:val="0"/>
          <w:bCs/>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韶关市曲江区审计局主动公开基本目录（2024</w:t>
      </w:r>
      <w:bookmarkStart w:id="0" w:name="_GoBack"/>
      <w:bookmarkEnd w:id="0"/>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年版）</w:t>
      </w:r>
    </w:p>
    <w:tbl>
      <w:tblPr>
        <w:tblStyle w:val="4"/>
        <w:tblW w:w="4998"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74"/>
        <w:gridCol w:w="1417"/>
        <w:gridCol w:w="1444"/>
        <w:gridCol w:w="3152"/>
        <w:gridCol w:w="189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38" w:type="pct"/>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黑体" w:hAnsi="黑体" w:eastAsia="黑体" w:cs="黑体"/>
                <w:color w:val="auto"/>
                <w:sz w:val="28"/>
                <w:szCs w:val="28"/>
              </w:rPr>
            </w:pPr>
            <w:r>
              <w:rPr>
                <w:rFonts w:hint="eastAsia" w:ascii="黑体" w:hAnsi="黑体" w:eastAsia="黑体" w:cs="黑体"/>
                <w:i w:val="0"/>
                <w:iCs w:val="0"/>
                <w:caps w:val="0"/>
                <w:color w:val="auto"/>
                <w:spacing w:val="0"/>
                <w:sz w:val="28"/>
                <w:szCs w:val="28"/>
              </w:rPr>
              <w:t>序号</w:t>
            </w:r>
          </w:p>
        </w:tc>
        <w:tc>
          <w:tcPr>
            <w:tcW w:w="1686" w:type="pct"/>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color w:val="auto"/>
                <w:sz w:val="28"/>
                <w:szCs w:val="28"/>
              </w:rPr>
            </w:pPr>
            <w:r>
              <w:rPr>
                <w:rFonts w:hint="eastAsia" w:ascii="黑体" w:hAnsi="黑体" w:eastAsia="黑体" w:cs="黑体"/>
                <w:i w:val="0"/>
                <w:iCs w:val="0"/>
                <w:caps w:val="0"/>
                <w:color w:val="auto"/>
                <w:spacing w:val="0"/>
                <w:sz w:val="28"/>
                <w:szCs w:val="28"/>
              </w:rPr>
              <w:t>公开类别及事项</w:t>
            </w:r>
          </w:p>
        </w:tc>
        <w:tc>
          <w:tcPr>
            <w:tcW w:w="1857" w:type="pct"/>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color w:val="auto"/>
                <w:sz w:val="28"/>
                <w:szCs w:val="28"/>
              </w:rPr>
            </w:pPr>
            <w:r>
              <w:rPr>
                <w:rFonts w:hint="eastAsia" w:ascii="黑体" w:hAnsi="黑体" w:eastAsia="黑体" w:cs="黑体"/>
                <w:i w:val="0"/>
                <w:iCs w:val="0"/>
                <w:caps w:val="0"/>
                <w:color w:val="auto"/>
                <w:spacing w:val="0"/>
                <w:sz w:val="28"/>
                <w:szCs w:val="28"/>
              </w:rPr>
              <w:t>公开内容</w:t>
            </w:r>
          </w:p>
        </w:tc>
        <w:tc>
          <w:tcPr>
            <w:tcW w:w="1117" w:type="pct"/>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color w:val="auto"/>
                <w:sz w:val="28"/>
                <w:szCs w:val="28"/>
              </w:rPr>
            </w:pPr>
            <w:r>
              <w:rPr>
                <w:rFonts w:hint="eastAsia" w:ascii="黑体" w:hAnsi="黑体" w:eastAsia="黑体" w:cs="黑体"/>
                <w:i w:val="0"/>
                <w:iCs w:val="0"/>
                <w:caps w:val="0"/>
                <w:color w:val="auto"/>
                <w:spacing w:val="0"/>
                <w:sz w:val="28"/>
                <w:szCs w:val="28"/>
              </w:rPr>
              <w:t>责任股室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3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rPr>
                <w:rFonts w:hint="eastAsia" w:asciiTheme="minorEastAsia" w:hAnsiTheme="minorEastAsia" w:eastAsiaTheme="minorEastAsia" w:cstheme="minorEastAsia"/>
                <w:i w:val="0"/>
                <w:iCs w:val="0"/>
                <w:caps w:val="0"/>
                <w:color w:val="auto"/>
                <w:spacing w:val="0"/>
                <w:sz w:val="28"/>
                <w:szCs w:val="28"/>
              </w:rPr>
            </w:pPr>
          </w:p>
        </w:tc>
        <w:tc>
          <w:tcPr>
            <w:tcW w:w="835"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rPr>
              <w:t>一级</w:t>
            </w:r>
          </w:p>
        </w:tc>
        <w:tc>
          <w:tcPr>
            <w:tcW w:w="851"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rPr>
              <w:t>二级</w:t>
            </w:r>
          </w:p>
        </w:tc>
        <w:tc>
          <w:tcPr>
            <w:tcW w:w="1857" w:type="pct"/>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rPr>
                <w:rFonts w:hint="eastAsia" w:asciiTheme="minorEastAsia" w:hAnsiTheme="minorEastAsia" w:eastAsiaTheme="minorEastAsia" w:cstheme="minorEastAsia"/>
                <w:i w:val="0"/>
                <w:iCs w:val="0"/>
                <w:caps w:val="0"/>
                <w:color w:val="auto"/>
                <w:spacing w:val="0"/>
                <w:sz w:val="28"/>
                <w:szCs w:val="28"/>
              </w:rPr>
            </w:pPr>
          </w:p>
        </w:tc>
        <w:tc>
          <w:tcPr>
            <w:tcW w:w="1117" w:type="pct"/>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rPr>
                <w:rFonts w:hint="eastAsia" w:asciiTheme="minorEastAsia" w:hAnsiTheme="minorEastAsia" w:eastAsiaTheme="minorEastAsia" w:cstheme="minorEastAsia"/>
                <w:i w:val="0"/>
                <w:iCs w:val="0"/>
                <w:caps w:val="0"/>
                <w:color w:val="auto"/>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1</w:t>
            </w:r>
          </w:p>
        </w:tc>
        <w:tc>
          <w:tcPr>
            <w:tcW w:w="835" w:type="pct"/>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机构职能</w:t>
            </w:r>
          </w:p>
        </w:tc>
        <w:tc>
          <w:tcPr>
            <w:tcW w:w="851"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机构概况</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本机关机构设置及主要职能情况</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2</w:t>
            </w:r>
          </w:p>
        </w:tc>
        <w:tc>
          <w:tcPr>
            <w:tcW w:w="83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rPr>
                <w:rFonts w:hint="eastAsia" w:ascii="仿宋_GB2312" w:hAnsi="仿宋_GB2312" w:eastAsia="仿宋_GB2312" w:cs="仿宋_GB2312"/>
                <w:i w:val="0"/>
                <w:iCs w:val="0"/>
                <w:caps w:val="0"/>
                <w:color w:val="auto"/>
                <w:spacing w:val="0"/>
                <w:sz w:val="28"/>
                <w:szCs w:val="28"/>
              </w:rPr>
            </w:pPr>
          </w:p>
        </w:tc>
        <w:tc>
          <w:tcPr>
            <w:tcW w:w="851"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机构领导</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机构领导及分工情况</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3</w:t>
            </w:r>
          </w:p>
        </w:tc>
        <w:tc>
          <w:tcPr>
            <w:tcW w:w="83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rPr>
                <w:rFonts w:hint="eastAsia" w:ascii="仿宋_GB2312" w:hAnsi="仿宋_GB2312" w:eastAsia="仿宋_GB2312" w:cs="仿宋_GB2312"/>
                <w:i w:val="0"/>
                <w:iCs w:val="0"/>
                <w:caps w:val="0"/>
                <w:color w:val="auto"/>
                <w:spacing w:val="0"/>
                <w:sz w:val="28"/>
                <w:szCs w:val="28"/>
              </w:rPr>
            </w:pPr>
          </w:p>
        </w:tc>
        <w:tc>
          <w:tcPr>
            <w:tcW w:w="851"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内设机构</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内设机构设置及职能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情况</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4</w:t>
            </w:r>
          </w:p>
        </w:tc>
        <w:tc>
          <w:tcPr>
            <w:tcW w:w="1686" w:type="pct"/>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审计结果公告</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年度区级预算执行和其他财政收支的审计工作报告、审计发现问题整改工作报告、有关审计结果公告</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财政金融审计股、计划和整改监督股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5</w:t>
            </w:r>
          </w:p>
        </w:tc>
        <w:tc>
          <w:tcPr>
            <w:tcW w:w="1686" w:type="pct"/>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规章文件</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1. 审计法律、行政法规、规章、审计规划、规定、办法文件及解读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2.以区委、区人大、区政府(办公室)名义发布的审计工作相关的规范性文件；以本机关名义发布或者本机关作为主办部门与其他部门联合发布的规范性文件等。</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法规审理股、办公室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6</w:t>
            </w:r>
          </w:p>
        </w:tc>
        <w:tc>
          <w:tcPr>
            <w:tcW w:w="835"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计划</w:t>
            </w:r>
          </w:p>
        </w:tc>
        <w:tc>
          <w:tcPr>
            <w:tcW w:w="851"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年度计划</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局年度工作安排</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计划和整改监督股、办公室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7</w:t>
            </w:r>
          </w:p>
        </w:tc>
        <w:tc>
          <w:tcPr>
            <w:tcW w:w="1686" w:type="pct"/>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工作动态</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日常审计工作动态</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8</w:t>
            </w:r>
          </w:p>
        </w:tc>
        <w:tc>
          <w:tcPr>
            <w:tcW w:w="1686" w:type="pct"/>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业务工作</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与审计业务相关的做法、活动、总结、审计结果公告等。</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各业务股室、办公室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9</w:t>
            </w:r>
          </w:p>
        </w:tc>
        <w:tc>
          <w:tcPr>
            <w:tcW w:w="835"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统计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信息</w:t>
            </w:r>
          </w:p>
        </w:tc>
        <w:tc>
          <w:tcPr>
            <w:tcW w:w="851"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财政预算、决算</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年度财政预算、决算信息</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10</w:t>
            </w:r>
          </w:p>
        </w:tc>
        <w:tc>
          <w:tcPr>
            <w:tcW w:w="835"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统计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信息</w:t>
            </w:r>
          </w:p>
        </w:tc>
        <w:tc>
          <w:tcPr>
            <w:tcW w:w="851"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其他</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会议费及“三公”经费支出等方面的信息</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11</w:t>
            </w:r>
          </w:p>
        </w:tc>
        <w:tc>
          <w:tcPr>
            <w:tcW w:w="1686" w:type="pct"/>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其他</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干部任免、岗位调整、公务员录用、党费使用、局政府信息公开目录、本机关职责范围内依法应当公开的其他信息</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12</w:t>
            </w:r>
          </w:p>
        </w:tc>
        <w:tc>
          <w:tcPr>
            <w:tcW w:w="1686" w:type="pct"/>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政府信息公开年度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报告</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局年度信息报告</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办公室</w:t>
            </w:r>
          </w:p>
        </w:tc>
      </w:tr>
    </w:tbl>
    <w:p>
      <w:pPr>
        <w:keepNext w:val="0"/>
        <w:keepLines w:val="0"/>
        <w:pageBreakBefore w:val="0"/>
        <w:kinsoku/>
        <w:overflowPunct/>
        <w:topLinePunct w:val="0"/>
        <w:autoSpaceDE/>
        <w:autoSpaceDN/>
        <w:bidi w:val="0"/>
        <w:adjustRightInd/>
        <w:snapToGrid/>
        <w:spacing w:line="500" w:lineRule="exact"/>
        <w:textAlignment w:val="auto"/>
        <w:rPr>
          <w:rStyle w:val="6"/>
          <w:rFonts w:hint="eastAsia" w:ascii="仿宋_GB2312" w:hAnsi="仿宋_GB2312" w:eastAsia="仿宋_GB2312" w:cs="仿宋_GB2312"/>
          <w:i w:val="0"/>
          <w:iCs w:val="0"/>
          <w:caps w:val="0"/>
          <w:color w:val="auto"/>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GI3ZGJlZThkNzM1MGNjZTU3ZWU5MTA0MDhkN2MifQ=="/>
  </w:docVars>
  <w:rsids>
    <w:rsidRoot w:val="43B71B4E"/>
    <w:rsid w:val="01794C92"/>
    <w:rsid w:val="18F36E6F"/>
    <w:rsid w:val="1B334486"/>
    <w:rsid w:val="2E116578"/>
    <w:rsid w:val="42CB6C30"/>
    <w:rsid w:val="43B71B4E"/>
    <w:rsid w:val="48E64762"/>
    <w:rsid w:val="515C4895"/>
    <w:rsid w:val="5D111D7E"/>
    <w:rsid w:val="5F015B15"/>
    <w:rsid w:val="63016CD4"/>
    <w:rsid w:val="65AE6FB6"/>
    <w:rsid w:val="67FA4DDD"/>
    <w:rsid w:val="6D2F7A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806</Words>
  <Characters>866</Characters>
  <Lines>0</Lines>
  <Paragraphs>0</Paragraphs>
  <TotalTime>9</TotalTime>
  <ScaleCrop>false</ScaleCrop>
  <LinksUpToDate>false</LinksUpToDate>
  <CharactersWithSpaces>912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2021-12-19T15:41:00Z</dcterms:created>
  <dc:creator>雪中宝</dc:creator>
  <cp:lastModifiedBy>Administrator</cp:lastModifiedBy>
  <dcterms:modified xsi:type="dcterms:W3CDTF">2025-04-21T04:11:24Z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CCC891B1851C400CACE54093C2A3FDE7</vt:lpwstr>
  </property>
</Properties>
</file>