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300" w:beforeAutospacing="0" w:after="375" w:afterAutospacing="0"/>
        <w:ind w:left="0" w:right="0" w:firstLine="0"/>
        <w:jc w:val="center"/>
        <w:rPr>
          <w:rFonts w:ascii="微软雅黑" w:hAnsi="微软雅黑" w:eastAsia="微软雅黑" w:cs="微软雅黑"/>
          <w:b/>
          <w:bCs/>
          <w:i w:val="0"/>
          <w:iCs w:val="0"/>
          <w:caps w:val="0"/>
          <w:color w:val="2D66A5"/>
          <w:spacing w:val="0"/>
          <w:sz w:val="48"/>
          <w:szCs w:val="48"/>
        </w:rPr>
      </w:pPr>
      <w:r>
        <w:rPr>
          <w:rFonts w:hint="eastAsia" w:ascii="微软雅黑" w:hAnsi="微软雅黑" w:eastAsia="微软雅黑" w:cs="微软雅黑"/>
          <w:b/>
          <w:bCs/>
          <w:i w:val="0"/>
          <w:iCs w:val="0"/>
          <w:caps w:val="0"/>
          <w:color w:val="2D66A5"/>
          <w:spacing w:val="0"/>
          <w:sz w:val="48"/>
          <w:szCs w:val="48"/>
          <w:shd w:val="clear" w:fill="FFFFFF"/>
        </w:rPr>
        <w:t>韶关市曲江区教育局主动公开基本目录</w:t>
      </w:r>
    </w:p>
    <w:p>
      <w:pPr>
        <w:jc w:val="center"/>
        <w:rPr>
          <w:rFonts w:ascii="微软雅黑" w:hAnsi="微软雅黑" w:eastAsia="微软雅黑" w:cs="微软雅黑"/>
          <w:i w:val="0"/>
          <w:iCs w:val="0"/>
          <w:caps w:val="0"/>
          <w:color w:val="000000"/>
          <w:spacing w:val="0"/>
          <w:sz w:val="27"/>
          <w:szCs w:val="27"/>
          <w:shd w:val="clear" w:fill="FFFFFF"/>
        </w:rPr>
      </w:pPr>
      <w:r>
        <w:rPr>
          <w:rFonts w:ascii="微软雅黑" w:hAnsi="微软雅黑" w:eastAsia="微软雅黑" w:cs="微软雅黑"/>
          <w:i w:val="0"/>
          <w:iCs w:val="0"/>
          <w:caps w:val="0"/>
          <w:color w:val="000000"/>
          <w:spacing w:val="0"/>
          <w:sz w:val="27"/>
          <w:szCs w:val="27"/>
          <w:shd w:val="clear" w:fill="FFFFFF"/>
        </w:rPr>
        <w:t>第一部分  概  述</w:t>
      </w:r>
    </w:p>
    <w:p>
      <w:pPr>
        <w:rPr>
          <w:rFonts w:hint="eastAsia" w:ascii="微软雅黑" w:hAnsi="微软雅黑" w:eastAsia="微软雅黑" w:cs="微软雅黑"/>
          <w:i w:val="0"/>
          <w:iCs w:val="0"/>
          <w:caps w:val="0"/>
          <w:color w:val="000000"/>
          <w:spacing w:val="0"/>
          <w:sz w:val="27"/>
          <w:szCs w:val="27"/>
          <w:shd w:val="clear" w:fill="FFFFFF"/>
        </w:rPr>
      </w:pPr>
      <w:r>
        <w:rPr>
          <w:rFonts w:ascii="微软雅黑" w:hAnsi="微软雅黑" w:eastAsia="微软雅黑" w:cs="微软雅黑"/>
          <w:i w:val="0"/>
          <w:iCs w:val="0"/>
          <w:caps w:val="0"/>
          <w:color w:val="000000"/>
          <w:spacing w:val="0"/>
          <w:sz w:val="27"/>
          <w:szCs w:val="27"/>
          <w:shd w:val="clear" w:fill="FFFFFF"/>
        </w:rPr>
        <w:t>一、主要依据</w:t>
      </w:r>
      <w:r>
        <w:rPr>
          <w:rFonts w:hint="eastAsia" w:ascii="微软雅黑" w:hAnsi="微软雅黑" w:eastAsia="微软雅黑" w:cs="微软雅黑"/>
          <w:i w:val="0"/>
          <w:iCs w:val="0"/>
          <w:caps w:val="0"/>
          <w:color w:val="000000"/>
          <w:spacing w:val="0"/>
          <w:sz w:val="27"/>
          <w:szCs w:val="27"/>
          <w:shd w:val="clear" w:fill="FFFFFF"/>
        </w:rPr>
        <w:br w:type="textWrapping"/>
      </w:r>
      <w:r>
        <w:rPr>
          <w:rFonts w:hint="eastAsia" w:ascii="微软雅黑" w:hAnsi="微软雅黑" w:eastAsia="微软雅黑" w:cs="微软雅黑"/>
          <w:i w:val="0"/>
          <w:iCs w:val="0"/>
          <w:caps w:val="0"/>
          <w:color w:val="000000"/>
          <w:spacing w:val="0"/>
          <w:sz w:val="27"/>
          <w:szCs w:val="27"/>
          <w:shd w:val="clear" w:fill="FFFFFF"/>
        </w:rPr>
        <w:t>　　1.《中华人民共和国政府信息公开条例》</w:t>
      </w:r>
      <w:r>
        <w:rPr>
          <w:rFonts w:hint="eastAsia" w:ascii="微软雅黑" w:hAnsi="微软雅黑" w:eastAsia="微软雅黑" w:cs="微软雅黑"/>
          <w:i w:val="0"/>
          <w:iCs w:val="0"/>
          <w:caps w:val="0"/>
          <w:color w:val="000000"/>
          <w:spacing w:val="0"/>
          <w:sz w:val="27"/>
          <w:szCs w:val="27"/>
          <w:shd w:val="clear" w:fill="FFFFFF"/>
        </w:rPr>
        <w:br w:type="textWrapping"/>
      </w:r>
      <w:r>
        <w:rPr>
          <w:rFonts w:hint="eastAsia" w:ascii="微软雅黑" w:hAnsi="微软雅黑" w:eastAsia="微软雅黑" w:cs="微软雅黑"/>
          <w:i w:val="0"/>
          <w:iCs w:val="0"/>
          <w:caps w:val="0"/>
          <w:color w:val="000000"/>
          <w:spacing w:val="0"/>
          <w:sz w:val="27"/>
          <w:szCs w:val="27"/>
          <w:shd w:val="clear" w:fill="FFFFFF"/>
        </w:rPr>
        <w:t>　　2.中共中央办公厅、国务院办公厅《关于全面推进政务公开工作的意见》</w:t>
      </w:r>
      <w:r>
        <w:rPr>
          <w:rFonts w:hint="eastAsia" w:ascii="微软雅黑" w:hAnsi="微软雅黑" w:eastAsia="微软雅黑" w:cs="微软雅黑"/>
          <w:i w:val="0"/>
          <w:iCs w:val="0"/>
          <w:caps w:val="0"/>
          <w:color w:val="000000"/>
          <w:spacing w:val="0"/>
          <w:sz w:val="27"/>
          <w:szCs w:val="27"/>
          <w:shd w:val="clear" w:fill="FFFFFF"/>
        </w:rPr>
        <w:br w:type="textWrapping"/>
      </w:r>
      <w:r>
        <w:rPr>
          <w:rFonts w:hint="eastAsia" w:ascii="微软雅黑" w:hAnsi="微软雅黑" w:eastAsia="微软雅黑" w:cs="微软雅黑"/>
          <w:i w:val="0"/>
          <w:iCs w:val="0"/>
          <w:caps w:val="0"/>
          <w:color w:val="000000"/>
          <w:spacing w:val="0"/>
          <w:sz w:val="27"/>
          <w:szCs w:val="27"/>
          <w:shd w:val="clear" w:fill="FFFFFF"/>
        </w:rPr>
        <w:t>　　3.《国务院办公厅印发〈关于全面推进政务公开工作的意见〉实施细则的通知》</w:t>
      </w:r>
      <w:r>
        <w:rPr>
          <w:rFonts w:hint="eastAsia" w:ascii="微软雅黑" w:hAnsi="微软雅黑" w:eastAsia="微软雅黑" w:cs="微软雅黑"/>
          <w:i w:val="0"/>
          <w:iCs w:val="0"/>
          <w:caps w:val="0"/>
          <w:color w:val="000000"/>
          <w:spacing w:val="0"/>
          <w:sz w:val="27"/>
          <w:szCs w:val="27"/>
          <w:shd w:val="clear" w:fill="FFFFFF"/>
        </w:rPr>
        <w:br w:type="textWrapping"/>
      </w:r>
      <w:r>
        <w:rPr>
          <w:rFonts w:hint="eastAsia" w:ascii="微软雅黑" w:hAnsi="微软雅黑" w:eastAsia="微软雅黑" w:cs="微软雅黑"/>
          <w:i w:val="0"/>
          <w:iCs w:val="0"/>
          <w:caps w:val="0"/>
          <w:color w:val="000000"/>
          <w:spacing w:val="0"/>
          <w:sz w:val="27"/>
          <w:szCs w:val="27"/>
          <w:shd w:val="clear" w:fill="FFFFFF"/>
        </w:rPr>
        <w:t>　　4.《广东省政府办公厅关于印发省级部门主动公开基本目录》</w:t>
      </w:r>
      <w:r>
        <w:rPr>
          <w:rFonts w:hint="eastAsia" w:ascii="微软雅黑" w:hAnsi="微软雅黑" w:eastAsia="微软雅黑" w:cs="微软雅黑"/>
          <w:i w:val="0"/>
          <w:iCs w:val="0"/>
          <w:caps w:val="0"/>
          <w:color w:val="000000"/>
          <w:spacing w:val="0"/>
          <w:sz w:val="27"/>
          <w:szCs w:val="27"/>
          <w:shd w:val="clear" w:fill="FFFFFF"/>
        </w:rPr>
        <w:br w:type="textWrapping"/>
      </w:r>
      <w:r>
        <w:rPr>
          <w:rFonts w:hint="eastAsia" w:ascii="微软雅黑" w:hAnsi="微软雅黑" w:eastAsia="微软雅黑" w:cs="微软雅黑"/>
          <w:i w:val="0"/>
          <w:iCs w:val="0"/>
          <w:caps w:val="0"/>
          <w:color w:val="000000"/>
          <w:spacing w:val="0"/>
          <w:sz w:val="27"/>
          <w:szCs w:val="27"/>
          <w:shd w:val="clear" w:fill="FFFFFF"/>
        </w:rPr>
        <w:t>　　5.《广东省人民政府办公厅关于进一步推进省市县三级主动公开基本目录编制发布工作的通知》</w:t>
      </w:r>
      <w:r>
        <w:rPr>
          <w:rFonts w:hint="eastAsia" w:ascii="微软雅黑" w:hAnsi="微软雅黑" w:eastAsia="微软雅黑" w:cs="微软雅黑"/>
          <w:i w:val="0"/>
          <w:iCs w:val="0"/>
          <w:caps w:val="0"/>
          <w:color w:val="000000"/>
          <w:spacing w:val="0"/>
          <w:sz w:val="27"/>
          <w:szCs w:val="27"/>
          <w:shd w:val="clear" w:fill="FFFFFF"/>
        </w:rPr>
        <w:br w:type="textWrapping"/>
      </w:r>
      <w:r>
        <w:rPr>
          <w:rFonts w:hint="eastAsia" w:ascii="微软雅黑" w:hAnsi="微软雅黑" w:eastAsia="微软雅黑" w:cs="微软雅黑"/>
          <w:i w:val="0"/>
          <w:iCs w:val="0"/>
          <w:caps w:val="0"/>
          <w:color w:val="000000"/>
          <w:spacing w:val="0"/>
          <w:sz w:val="27"/>
          <w:szCs w:val="27"/>
          <w:shd w:val="clear" w:fill="FFFFFF"/>
        </w:rPr>
        <w:t>　　二、公开主体、公开时限、公开方式和监督渠道</w:t>
      </w:r>
      <w:r>
        <w:rPr>
          <w:rFonts w:hint="eastAsia" w:ascii="微软雅黑" w:hAnsi="微软雅黑" w:eastAsia="微软雅黑" w:cs="微软雅黑"/>
          <w:i w:val="0"/>
          <w:iCs w:val="0"/>
          <w:caps w:val="0"/>
          <w:color w:val="000000"/>
          <w:spacing w:val="0"/>
          <w:sz w:val="27"/>
          <w:szCs w:val="27"/>
          <w:shd w:val="clear" w:fill="FFFFFF"/>
        </w:rPr>
        <w:br w:type="textWrapping"/>
      </w:r>
      <w:r>
        <w:rPr>
          <w:rFonts w:hint="eastAsia" w:ascii="微软雅黑" w:hAnsi="微软雅黑" w:eastAsia="微软雅黑" w:cs="微软雅黑"/>
          <w:i w:val="0"/>
          <w:iCs w:val="0"/>
          <w:caps w:val="0"/>
          <w:color w:val="000000"/>
          <w:spacing w:val="0"/>
          <w:sz w:val="27"/>
          <w:szCs w:val="27"/>
          <w:shd w:val="clear" w:fill="FFFFFF"/>
        </w:rPr>
        <w:t>   【公开主体】韶关市曲江区教育局</w:t>
      </w:r>
      <w:r>
        <w:rPr>
          <w:rFonts w:hint="eastAsia" w:ascii="微软雅黑" w:hAnsi="微软雅黑" w:eastAsia="微软雅黑" w:cs="微软雅黑"/>
          <w:i w:val="0"/>
          <w:iCs w:val="0"/>
          <w:caps w:val="0"/>
          <w:color w:val="000000"/>
          <w:spacing w:val="0"/>
          <w:sz w:val="27"/>
          <w:szCs w:val="27"/>
          <w:shd w:val="clear" w:fill="FFFFFF"/>
        </w:rPr>
        <w:br w:type="textWrapping"/>
      </w:r>
      <w:r>
        <w:rPr>
          <w:rFonts w:hint="eastAsia" w:ascii="微软雅黑" w:hAnsi="微软雅黑" w:eastAsia="微软雅黑" w:cs="微软雅黑"/>
          <w:i w:val="0"/>
          <w:iCs w:val="0"/>
          <w:caps w:val="0"/>
          <w:color w:val="000000"/>
          <w:spacing w:val="0"/>
          <w:sz w:val="27"/>
          <w:szCs w:val="27"/>
          <w:shd w:val="clear" w:fill="FFFFFF"/>
        </w:rPr>
        <w:t>    【公开时限】政府信息形成或者变更之日起20个工作日内（法律、法规、政策文件对政府信息公开的期限另有规定的，从其规定）</w:t>
      </w:r>
      <w:r>
        <w:rPr>
          <w:rFonts w:hint="eastAsia" w:ascii="微软雅黑" w:hAnsi="微软雅黑" w:eastAsia="微软雅黑" w:cs="微软雅黑"/>
          <w:i w:val="0"/>
          <w:iCs w:val="0"/>
          <w:caps w:val="0"/>
          <w:color w:val="000000"/>
          <w:spacing w:val="0"/>
          <w:sz w:val="27"/>
          <w:szCs w:val="27"/>
          <w:shd w:val="clear" w:fill="FFFFFF"/>
        </w:rPr>
        <w:br w:type="textWrapping"/>
      </w:r>
      <w:r>
        <w:rPr>
          <w:rFonts w:hint="eastAsia" w:ascii="微软雅黑" w:hAnsi="微软雅黑" w:eastAsia="微软雅黑" w:cs="微软雅黑"/>
          <w:i w:val="0"/>
          <w:iCs w:val="0"/>
          <w:caps w:val="0"/>
          <w:color w:val="000000"/>
          <w:spacing w:val="0"/>
          <w:sz w:val="27"/>
          <w:szCs w:val="27"/>
          <w:shd w:val="clear" w:fill="FFFFFF"/>
        </w:rPr>
        <w:t>    【公开方式】通过政府网站主动公开</w:t>
      </w:r>
      <w:r>
        <w:rPr>
          <w:rFonts w:hint="eastAsia" w:ascii="微软雅黑" w:hAnsi="微软雅黑" w:eastAsia="微软雅黑" w:cs="微软雅黑"/>
          <w:i w:val="0"/>
          <w:iCs w:val="0"/>
          <w:caps w:val="0"/>
          <w:color w:val="000000"/>
          <w:spacing w:val="0"/>
          <w:sz w:val="27"/>
          <w:szCs w:val="27"/>
          <w:shd w:val="clear" w:fill="FFFFFF"/>
        </w:rPr>
        <w:br w:type="textWrapping"/>
      </w:r>
      <w:r>
        <w:rPr>
          <w:rFonts w:hint="eastAsia" w:ascii="微软雅黑" w:hAnsi="微软雅黑" w:eastAsia="微软雅黑" w:cs="微软雅黑"/>
          <w:i w:val="0"/>
          <w:iCs w:val="0"/>
          <w:caps w:val="0"/>
          <w:color w:val="000000"/>
          <w:spacing w:val="0"/>
          <w:sz w:val="27"/>
          <w:szCs w:val="27"/>
          <w:shd w:val="clear" w:fill="FFFFFF"/>
        </w:rPr>
        <w:t>    【监督渠道】韶关市曲江区人民政府网互动交流平台（http://www.qujiang.gov.cn/gzhd/index.html）、电话（0751-6667491）</w:t>
      </w:r>
    </w:p>
    <w:p>
      <w:pPr>
        <w:jc w:val="center"/>
        <w:rPr>
          <w:rFonts w:ascii="微软雅黑" w:hAnsi="微软雅黑" w:eastAsia="微软雅黑" w:cs="微软雅黑"/>
          <w:i w:val="0"/>
          <w:iCs w:val="0"/>
          <w:caps w:val="0"/>
          <w:color w:val="424242"/>
          <w:spacing w:val="0"/>
          <w:sz w:val="27"/>
          <w:szCs w:val="27"/>
          <w:shd w:val="clear" w:fill="FFFFFF"/>
        </w:rPr>
      </w:pPr>
      <w:r>
        <w:rPr>
          <w:rFonts w:ascii="微软雅黑" w:hAnsi="微软雅黑" w:eastAsia="微软雅黑" w:cs="微软雅黑"/>
          <w:i w:val="0"/>
          <w:iCs w:val="0"/>
          <w:caps w:val="0"/>
          <w:color w:val="424242"/>
          <w:spacing w:val="0"/>
          <w:sz w:val="27"/>
          <w:szCs w:val="27"/>
          <w:shd w:val="clear" w:fill="FFFFFF"/>
        </w:rPr>
        <w:t>第二部分  主动公开基本目录</w:t>
      </w:r>
    </w:p>
    <w:tbl>
      <w:tblPr>
        <w:tblStyle w:val="3"/>
        <w:tblW w:w="8675" w:type="dxa"/>
        <w:jc w:val="center"/>
        <w:tblBorders>
          <w:top w:val="none" w:color="D8D8D8" w:sz="6" w:space="0"/>
          <w:left w:val="none" w:color="D8D8D8" w:sz="6" w:space="0"/>
          <w:bottom w:val="none" w:color="D8D8D8" w:sz="6" w:space="0"/>
          <w:right w:val="none" w:color="D8D8D8"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771"/>
        <w:gridCol w:w="963"/>
        <w:gridCol w:w="1702"/>
        <w:gridCol w:w="1125"/>
        <w:gridCol w:w="2935"/>
        <w:gridCol w:w="1179"/>
      </w:tblGrid>
      <w:tr>
        <w:tblPrEx>
          <w:tblBorders>
            <w:top w:val="none" w:color="D8D8D8" w:sz="6" w:space="0"/>
            <w:left w:val="none" w:color="D8D8D8" w:sz="6" w:space="0"/>
            <w:bottom w:val="none" w:color="D8D8D8" w:sz="6" w:space="0"/>
            <w:right w:val="none" w:color="D8D8D8"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771" w:type="dxa"/>
            <w:vMerge w:val="restart"/>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序号</w:t>
            </w:r>
          </w:p>
        </w:tc>
        <w:tc>
          <w:tcPr>
            <w:tcW w:w="3790" w:type="dxa"/>
            <w:gridSpan w:val="3"/>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公开类别及事项</w:t>
            </w:r>
          </w:p>
        </w:tc>
        <w:tc>
          <w:tcPr>
            <w:tcW w:w="2935" w:type="dxa"/>
            <w:vMerge w:val="restart"/>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公开内容</w:t>
            </w:r>
          </w:p>
        </w:tc>
        <w:tc>
          <w:tcPr>
            <w:tcW w:w="1179" w:type="dxa"/>
            <w:vMerge w:val="restart"/>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责任单位</w:t>
            </w:r>
          </w:p>
        </w:tc>
      </w:tr>
      <w:tr>
        <w:tblPrEx>
          <w:tblBorders>
            <w:top w:val="none" w:color="D8D8D8" w:sz="6" w:space="0"/>
            <w:left w:val="none" w:color="D8D8D8" w:sz="6" w:space="0"/>
            <w:bottom w:val="none" w:color="D8D8D8" w:sz="6" w:space="0"/>
            <w:right w:val="none" w:color="D8D8D8" w:sz="6" w:space="0"/>
            <w:insideH w:val="none" w:color="auto" w:sz="0" w:space="0"/>
            <w:insideV w:val="none" w:color="auto" w:sz="0" w:space="0"/>
          </w:tblBorders>
          <w:tblCellMar>
            <w:top w:w="0" w:type="dxa"/>
            <w:left w:w="0" w:type="dxa"/>
            <w:bottom w:w="0" w:type="dxa"/>
            <w:right w:w="0" w:type="dxa"/>
          </w:tblCellMar>
        </w:tblPrEx>
        <w:trPr>
          <w:jc w:val="center"/>
        </w:trPr>
        <w:tc>
          <w:tcPr>
            <w:tcW w:w="771" w:type="dxa"/>
            <w:vMerge w:val="continue"/>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jc w:val="center"/>
              <w:rPr>
                <w:rFonts w:hint="eastAsia" w:ascii="仿宋" w:hAnsi="仿宋" w:eastAsia="仿宋" w:cs="仿宋"/>
                <w:i w:val="0"/>
                <w:iCs w:val="0"/>
                <w:caps w:val="0"/>
                <w:color w:val="000000"/>
                <w:spacing w:val="0"/>
                <w:sz w:val="21"/>
                <w:szCs w:val="21"/>
              </w:rPr>
            </w:pPr>
          </w:p>
        </w:tc>
        <w:tc>
          <w:tcPr>
            <w:tcW w:w="963" w:type="dxa"/>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一级</w:t>
            </w:r>
          </w:p>
        </w:tc>
        <w:tc>
          <w:tcPr>
            <w:tcW w:w="1702" w:type="dxa"/>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二级</w:t>
            </w:r>
          </w:p>
        </w:tc>
        <w:tc>
          <w:tcPr>
            <w:tcW w:w="1125" w:type="dxa"/>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三级</w:t>
            </w:r>
          </w:p>
        </w:tc>
        <w:tc>
          <w:tcPr>
            <w:tcW w:w="2935" w:type="dxa"/>
            <w:vMerge w:val="continue"/>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rPr>
                <w:rFonts w:hint="eastAsia" w:ascii="仿宋" w:hAnsi="仿宋" w:eastAsia="仿宋" w:cs="仿宋"/>
                <w:i w:val="0"/>
                <w:iCs w:val="0"/>
                <w:caps w:val="0"/>
                <w:color w:val="000000"/>
                <w:spacing w:val="0"/>
                <w:sz w:val="21"/>
                <w:szCs w:val="21"/>
              </w:rPr>
            </w:pPr>
          </w:p>
        </w:tc>
        <w:tc>
          <w:tcPr>
            <w:tcW w:w="1179" w:type="dxa"/>
            <w:vMerge w:val="continue"/>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rPr>
                <w:rFonts w:hint="eastAsia" w:ascii="仿宋" w:hAnsi="仿宋" w:eastAsia="仿宋" w:cs="仿宋"/>
                <w:i w:val="0"/>
                <w:iCs w:val="0"/>
                <w:caps w:val="0"/>
                <w:color w:val="000000"/>
                <w:spacing w:val="0"/>
                <w:sz w:val="21"/>
                <w:szCs w:val="21"/>
              </w:rPr>
            </w:pPr>
          </w:p>
        </w:tc>
      </w:tr>
      <w:tr>
        <w:tblPrEx>
          <w:tblBorders>
            <w:top w:val="none" w:color="D8D8D8" w:sz="6" w:space="0"/>
            <w:left w:val="none" w:color="D8D8D8" w:sz="6" w:space="0"/>
            <w:bottom w:val="none" w:color="D8D8D8" w:sz="6" w:space="0"/>
            <w:right w:val="none" w:color="D8D8D8" w:sz="6" w:space="0"/>
            <w:insideH w:val="none" w:color="auto" w:sz="0" w:space="0"/>
            <w:insideV w:val="none" w:color="auto" w:sz="0" w:space="0"/>
          </w:tblBorders>
          <w:tblCellMar>
            <w:top w:w="0" w:type="dxa"/>
            <w:left w:w="0" w:type="dxa"/>
            <w:bottom w:w="0" w:type="dxa"/>
            <w:right w:w="0" w:type="dxa"/>
          </w:tblCellMar>
        </w:tblPrEx>
        <w:trPr>
          <w:jc w:val="center"/>
        </w:trPr>
        <w:tc>
          <w:tcPr>
            <w:tcW w:w="771" w:type="dxa"/>
            <w:vMerge w:val="restart"/>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1</w:t>
            </w:r>
          </w:p>
        </w:tc>
        <w:tc>
          <w:tcPr>
            <w:tcW w:w="963" w:type="dxa"/>
            <w:vMerge w:val="restart"/>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机构职能</w:t>
            </w:r>
          </w:p>
        </w:tc>
        <w:tc>
          <w:tcPr>
            <w:tcW w:w="2827" w:type="dxa"/>
            <w:gridSpan w:val="2"/>
            <w:vMerge w:val="restart"/>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机构概况</w:t>
            </w:r>
          </w:p>
        </w:tc>
        <w:tc>
          <w:tcPr>
            <w:tcW w:w="2935" w:type="dxa"/>
            <w:vMerge w:val="restart"/>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全区教育基本概况局及职能职责</w:t>
            </w:r>
          </w:p>
        </w:tc>
        <w:tc>
          <w:tcPr>
            <w:tcW w:w="1179" w:type="dxa"/>
            <w:vMerge w:val="restart"/>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人事股、教育股</w:t>
            </w:r>
          </w:p>
        </w:tc>
      </w:tr>
      <w:tr>
        <w:tblPrEx>
          <w:tblBorders>
            <w:top w:val="none" w:color="D8D8D8" w:sz="6" w:space="0"/>
            <w:left w:val="none" w:color="D8D8D8" w:sz="6" w:space="0"/>
            <w:bottom w:val="none" w:color="D8D8D8" w:sz="6" w:space="0"/>
            <w:right w:val="none" w:color="D8D8D8"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771" w:type="dxa"/>
            <w:vMerge w:val="continue"/>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jc w:val="center"/>
              <w:rPr>
                <w:rFonts w:hint="eastAsia" w:ascii="仿宋" w:hAnsi="仿宋" w:eastAsia="仿宋" w:cs="仿宋"/>
                <w:i w:val="0"/>
                <w:iCs w:val="0"/>
                <w:caps w:val="0"/>
                <w:color w:val="000000"/>
                <w:spacing w:val="0"/>
                <w:sz w:val="21"/>
                <w:szCs w:val="21"/>
              </w:rPr>
            </w:pPr>
          </w:p>
        </w:tc>
        <w:tc>
          <w:tcPr>
            <w:tcW w:w="963" w:type="dxa"/>
            <w:vMerge w:val="continue"/>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rPr>
                <w:rFonts w:hint="eastAsia" w:ascii="仿宋" w:hAnsi="仿宋" w:eastAsia="仿宋" w:cs="仿宋"/>
                <w:i w:val="0"/>
                <w:iCs w:val="0"/>
                <w:caps w:val="0"/>
                <w:color w:val="000000"/>
                <w:spacing w:val="0"/>
                <w:sz w:val="21"/>
                <w:szCs w:val="21"/>
              </w:rPr>
            </w:pPr>
          </w:p>
        </w:tc>
        <w:tc>
          <w:tcPr>
            <w:tcW w:w="2827" w:type="dxa"/>
            <w:gridSpan w:val="2"/>
            <w:vMerge w:val="continue"/>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rPr>
                <w:rFonts w:hint="eastAsia" w:ascii="仿宋" w:hAnsi="仿宋" w:eastAsia="仿宋" w:cs="仿宋"/>
                <w:i w:val="0"/>
                <w:iCs w:val="0"/>
                <w:caps w:val="0"/>
                <w:color w:val="000000"/>
                <w:spacing w:val="0"/>
                <w:sz w:val="21"/>
                <w:szCs w:val="21"/>
              </w:rPr>
            </w:pPr>
          </w:p>
        </w:tc>
        <w:tc>
          <w:tcPr>
            <w:tcW w:w="2935" w:type="dxa"/>
            <w:vMerge w:val="continue"/>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rPr>
                <w:rFonts w:hint="eastAsia" w:ascii="仿宋" w:hAnsi="仿宋" w:eastAsia="仿宋" w:cs="仿宋"/>
                <w:i w:val="0"/>
                <w:iCs w:val="0"/>
                <w:caps w:val="0"/>
                <w:color w:val="000000"/>
                <w:spacing w:val="0"/>
                <w:sz w:val="21"/>
                <w:szCs w:val="21"/>
              </w:rPr>
            </w:pPr>
          </w:p>
        </w:tc>
        <w:tc>
          <w:tcPr>
            <w:tcW w:w="1179" w:type="dxa"/>
            <w:vMerge w:val="continue"/>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rPr>
                <w:rFonts w:hint="eastAsia" w:ascii="仿宋" w:hAnsi="仿宋" w:eastAsia="仿宋" w:cs="仿宋"/>
                <w:i w:val="0"/>
                <w:iCs w:val="0"/>
                <w:caps w:val="0"/>
                <w:color w:val="000000"/>
                <w:spacing w:val="0"/>
                <w:sz w:val="21"/>
                <w:szCs w:val="21"/>
              </w:rPr>
            </w:pPr>
          </w:p>
        </w:tc>
      </w:tr>
      <w:tr>
        <w:tblPrEx>
          <w:tblBorders>
            <w:top w:val="none" w:color="D8D8D8" w:sz="6" w:space="0"/>
            <w:left w:val="none" w:color="D8D8D8" w:sz="6" w:space="0"/>
            <w:bottom w:val="none" w:color="D8D8D8" w:sz="6" w:space="0"/>
            <w:right w:val="none" w:color="D8D8D8" w:sz="6" w:space="0"/>
            <w:insideH w:val="none" w:color="auto" w:sz="0" w:space="0"/>
            <w:insideV w:val="none" w:color="auto" w:sz="0" w:space="0"/>
          </w:tblBorders>
          <w:tblCellMar>
            <w:top w:w="0" w:type="dxa"/>
            <w:left w:w="0" w:type="dxa"/>
            <w:bottom w:w="0" w:type="dxa"/>
            <w:right w:w="0" w:type="dxa"/>
          </w:tblCellMar>
        </w:tblPrEx>
        <w:trPr>
          <w:trHeight w:val="834" w:hRule="atLeast"/>
          <w:jc w:val="center"/>
        </w:trPr>
        <w:tc>
          <w:tcPr>
            <w:tcW w:w="771" w:type="dxa"/>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2</w:t>
            </w:r>
          </w:p>
        </w:tc>
        <w:tc>
          <w:tcPr>
            <w:tcW w:w="963" w:type="dxa"/>
            <w:vMerge w:val="continue"/>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rPr>
                <w:rFonts w:hint="eastAsia" w:ascii="仿宋" w:hAnsi="仿宋" w:eastAsia="仿宋" w:cs="仿宋"/>
                <w:i w:val="0"/>
                <w:iCs w:val="0"/>
                <w:caps w:val="0"/>
                <w:color w:val="000000"/>
                <w:spacing w:val="0"/>
                <w:sz w:val="21"/>
                <w:szCs w:val="21"/>
              </w:rPr>
            </w:pPr>
          </w:p>
        </w:tc>
        <w:tc>
          <w:tcPr>
            <w:tcW w:w="2827" w:type="dxa"/>
            <w:gridSpan w:val="2"/>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机构领导</w:t>
            </w:r>
          </w:p>
        </w:tc>
        <w:tc>
          <w:tcPr>
            <w:tcW w:w="2935" w:type="dxa"/>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机构领导基本信息及分工情况</w:t>
            </w:r>
          </w:p>
        </w:tc>
        <w:tc>
          <w:tcPr>
            <w:tcW w:w="1179" w:type="dxa"/>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人事股、办公室</w:t>
            </w:r>
          </w:p>
        </w:tc>
      </w:tr>
      <w:tr>
        <w:tblPrEx>
          <w:tblBorders>
            <w:top w:val="none" w:color="D8D8D8" w:sz="6" w:space="0"/>
            <w:left w:val="none" w:color="D8D8D8" w:sz="6" w:space="0"/>
            <w:bottom w:val="none" w:color="D8D8D8" w:sz="6" w:space="0"/>
            <w:right w:val="none" w:color="D8D8D8" w:sz="6" w:space="0"/>
            <w:insideH w:val="none" w:color="auto" w:sz="0" w:space="0"/>
            <w:insideV w:val="none" w:color="auto" w:sz="0" w:space="0"/>
          </w:tblBorders>
          <w:tblCellMar>
            <w:top w:w="0" w:type="dxa"/>
            <w:left w:w="0" w:type="dxa"/>
            <w:bottom w:w="0" w:type="dxa"/>
            <w:right w:w="0" w:type="dxa"/>
          </w:tblCellMar>
        </w:tblPrEx>
        <w:trPr>
          <w:jc w:val="center"/>
        </w:trPr>
        <w:tc>
          <w:tcPr>
            <w:tcW w:w="771" w:type="dxa"/>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3</w:t>
            </w:r>
          </w:p>
        </w:tc>
        <w:tc>
          <w:tcPr>
            <w:tcW w:w="963" w:type="dxa"/>
            <w:vMerge w:val="continue"/>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rPr>
                <w:rFonts w:hint="eastAsia" w:ascii="仿宋" w:hAnsi="仿宋" w:eastAsia="仿宋" w:cs="仿宋"/>
                <w:i w:val="0"/>
                <w:iCs w:val="0"/>
                <w:caps w:val="0"/>
                <w:color w:val="000000"/>
                <w:spacing w:val="0"/>
                <w:sz w:val="21"/>
                <w:szCs w:val="21"/>
              </w:rPr>
            </w:pPr>
          </w:p>
        </w:tc>
        <w:tc>
          <w:tcPr>
            <w:tcW w:w="2827" w:type="dxa"/>
            <w:gridSpan w:val="2"/>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内设机构</w:t>
            </w:r>
          </w:p>
        </w:tc>
        <w:tc>
          <w:tcPr>
            <w:tcW w:w="2935" w:type="dxa"/>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本机关机构设置及主要职能情况</w:t>
            </w:r>
          </w:p>
        </w:tc>
        <w:tc>
          <w:tcPr>
            <w:tcW w:w="1179" w:type="dxa"/>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人事股、办公室</w:t>
            </w:r>
          </w:p>
        </w:tc>
      </w:tr>
      <w:tr>
        <w:tblPrEx>
          <w:tblBorders>
            <w:top w:val="none" w:color="D8D8D8" w:sz="6" w:space="0"/>
            <w:left w:val="none" w:color="D8D8D8" w:sz="6" w:space="0"/>
            <w:bottom w:val="none" w:color="D8D8D8" w:sz="6" w:space="0"/>
            <w:right w:val="none" w:color="D8D8D8" w:sz="6" w:space="0"/>
            <w:insideH w:val="none" w:color="auto" w:sz="0" w:space="0"/>
            <w:insideV w:val="none" w:color="auto" w:sz="0" w:space="0"/>
          </w:tblBorders>
          <w:tblCellMar>
            <w:top w:w="0" w:type="dxa"/>
            <w:left w:w="0" w:type="dxa"/>
            <w:bottom w:w="0" w:type="dxa"/>
            <w:right w:w="0" w:type="dxa"/>
          </w:tblCellMar>
        </w:tblPrEx>
        <w:trPr>
          <w:jc w:val="center"/>
        </w:trPr>
        <w:tc>
          <w:tcPr>
            <w:tcW w:w="771" w:type="dxa"/>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4</w:t>
            </w:r>
          </w:p>
        </w:tc>
        <w:tc>
          <w:tcPr>
            <w:tcW w:w="963" w:type="dxa"/>
            <w:vMerge w:val="continue"/>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rPr>
                <w:rFonts w:hint="eastAsia" w:ascii="仿宋" w:hAnsi="仿宋" w:eastAsia="仿宋" w:cs="仿宋"/>
                <w:i w:val="0"/>
                <w:iCs w:val="0"/>
                <w:caps w:val="0"/>
                <w:color w:val="000000"/>
                <w:spacing w:val="0"/>
                <w:sz w:val="21"/>
                <w:szCs w:val="21"/>
              </w:rPr>
            </w:pPr>
          </w:p>
        </w:tc>
        <w:tc>
          <w:tcPr>
            <w:tcW w:w="2827" w:type="dxa"/>
            <w:gridSpan w:val="2"/>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权责清单公开</w:t>
            </w:r>
          </w:p>
        </w:tc>
        <w:tc>
          <w:tcPr>
            <w:tcW w:w="2935" w:type="dxa"/>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教育局职能权责清单</w:t>
            </w:r>
          </w:p>
        </w:tc>
        <w:tc>
          <w:tcPr>
            <w:tcW w:w="1179" w:type="dxa"/>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各股室</w:t>
            </w:r>
          </w:p>
        </w:tc>
      </w:tr>
      <w:tr>
        <w:tblPrEx>
          <w:tblBorders>
            <w:top w:val="none" w:color="D8D8D8" w:sz="6" w:space="0"/>
            <w:left w:val="none" w:color="D8D8D8" w:sz="6" w:space="0"/>
            <w:bottom w:val="none" w:color="D8D8D8" w:sz="6" w:space="0"/>
            <w:right w:val="none" w:color="D8D8D8" w:sz="6" w:space="0"/>
            <w:insideH w:val="none" w:color="auto" w:sz="0" w:space="0"/>
            <w:insideV w:val="none" w:color="auto" w:sz="0" w:space="0"/>
          </w:tblBorders>
          <w:tblCellMar>
            <w:top w:w="0" w:type="dxa"/>
            <w:left w:w="0" w:type="dxa"/>
            <w:bottom w:w="0" w:type="dxa"/>
            <w:right w:w="0" w:type="dxa"/>
          </w:tblCellMar>
        </w:tblPrEx>
        <w:trPr>
          <w:jc w:val="center"/>
        </w:trPr>
        <w:tc>
          <w:tcPr>
            <w:tcW w:w="771" w:type="dxa"/>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5</w:t>
            </w:r>
          </w:p>
        </w:tc>
        <w:tc>
          <w:tcPr>
            <w:tcW w:w="963" w:type="dxa"/>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规章文件</w:t>
            </w:r>
          </w:p>
        </w:tc>
        <w:tc>
          <w:tcPr>
            <w:tcW w:w="2827" w:type="dxa"/>
            <w:gridSpan w:val="2"/>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规章</w:t>
            </w:r>
          </w:p>
        </w:tc>
        <w:tc>
          <w:tcPr>
            <w:tcW w:w="2935" w:type="dxa"/>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以区委、区人大、区政府(办公室)名义发布的教育相关的规范性文件等</w:t>
            </w:r>
          </w:p>
        </w:tc>
        <w:tc>
          <w:tcPr>
            <w:tcW w:w="1179" w:type="dxa"/>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各股室</w:t>
            </w:r>
          </w:p>
        </w:tc>
      </w:tr>
      <w:tr>
        <w:tblPrEx>
          <w:tblBorders>
            <w:top w:val="none" w:color="D8D8D8" w:sz="6" w:space="0"/>
            <w:left w:val="none" w:color="D8D8D8" w:sz="6" w:space="0"/>
            <w:bottom w:val="none" w:color="D8D8D8" w:sz="6" w:space="0"/>
            <w:right w:val="none" w:color="D8D8D8" w:sz="6" w:space="0"/>
            <w:insideH w:val="none" w:color="auto" w:sz="0" w:space="0"/>
            <w:insideV w:val="none" w:color="auto" w:sz="0" w:space="0"/>
          </w:tblBorders>
          <w:tblCellMar>
            <w:top w:w="0" w:type="dxa"/>
            <w:left w:w="0" w:type="dxa"/>
            <w:bottom w:w="0" w:type="dxa"/>
            <w:right w:w="0" w:type="dxa"/>
          </w:tblCellMar>
        </w:tblPrEx>
        <w:trPr>
          <w:jc w:val="center"/>
        </w:trPr>
        <w:tc>
          <w:tcPr>
            <w:tcW w:w="771" w:type="dxa"/>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6</w:t>
            </w:r>
          </w:p>
        </w:tc>
        <w:tc>
          <w:tcPr>
            <w:tcW w:w="963" w:type="dxa"/>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仿宋" w:hAnsi="仿宋" w:eastAsia="仿宋" w:cs="仿宋"/>
                <w:i w:val="0"/>
                <w:iCs w:val="0"/>
                <w:caps w:val="0"/>
                <w:color w:val="000000"/>
                <w:spacing w:val="0"/>
                <w:sz w:val="21"/>
                <w:szCs w:val="21"/>
              </w:rPr>
            </w:pPr>
          </w:p>
        </w:tc>
        <w:tc>
          <w:tcPr>
            <w:tcW w:w="2827" w:type="dxa"/>
            <w:gridSpan w:val="2"/>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规范性文件</w:t>
            </w:r>
          </w:p>
        </w:tc>
        <w:tc>
          <w:tcPr>
            <w:tcW w:w="2935" w:type="dxa"/>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文件名称、文号、正文内容、发布机构、发布时间</w:t>
            </w:r>
          </w:p>
        </w:tc>
        <w:tc>
          <w:tcPr>
            <w:tcW w:w="1179" w:type="dxa"/>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各股室</w:t>
            </w:r>
          </w:p>
        </w:tc>
      </w:tr>
      <w:tr>
        <w:tblPrEx>
          <w:tblBorders>
            <w:top w:val="none" w:color="D8D8D8" w:sz="6" w:space="0"/>
            <w:left w:val="none" w:color="D8D8D8" w:sz="6" w:space="0"/>
            <w:bottom w:val="none" w:color="D8D8D8" w:sz="6" w:space="0"/>
            <w:right w:val="none" w:color="D8D8D8" w:sz="6" w:space="0"/>
            <w:insideH w:val="none" w:color="auto" w:sz="0" w:space="0"/>
            <w:insideV w:val="none" w:color="auto" w:sz="0" w:space="0"/>
          </w:tblBorders>
          <w:tblCellMar>
            <w:top w:w="0" w:type="dxa"/>
            <w:left w:w="0" w:type="dxa"/>
            <w:bottom w:w="0" w:type="dxa"/>
            <w:right w:w="0" w:type="dxa"/>
          </w:tblCellMar>
        </w:tblPrEx>
        <w:trPr>
          <w:jc w:val="center"/>
        </w:trPr>
        <w:tc>
          <w:tcPr>
            <w:tcW w:w="771" w:type="dxa"/>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7</w:t>
            </w:r>
          </w:p>
        </w:tc>
        <w:tc>
          <w:tcPr>
            <w:tcW w:w="963" w:type="dxa"/>
            <w:vMerge w:val="restart"/>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规划计划</w:t>
            </w:r>
          </w:p>
        </w:tc>
        <w:tc>
          <w:tcPr>
            <w:tcW w:w="2827" w:type="dxa"/>
            <w:gridSpan w:val="2"/>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专项规划</w:t>
            </w:r>
          </w:p>
        </w:tc>
        <w:tc>
          <w:tcPr>
            <w:tcW w:w="2935" w:type="dxa"/>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教育各类专项规划</w:t>
            </w:r>
          </w:p>
        </w:tc>
        <w:tc>
          <w:tcPr>
            <w:tcW w:w="1179" w:type="dxa"/>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各股室</w:t>
            </w:r>
          </w:p>
        </w:tc>
      </w:tr>
      <w:tr>
        <w:tblPrEx>
          <w:tblBorders>
            <w:top w:val="none" w:color="D8D8D8" w:sz="6" w:space="0"/>
            <w:left w:val="none" w:color="D8D8D8" w:sz="6" w:space="0"/>
            <w:bottom w:val="none" w:color="D8D8D8" w:sz="6" w:space="0"/>
            <w:right w:val="none" w:color="D8D8D8"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771" w:type="dxa"/>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8</w:t>
            </w:r>
          </w:p>
        </w:tc>
        <w:tc>
          <w:tcPr>
            <w:tcW w:w="963" w:type="dxa"/>
            <w:vMerge w:val="continue"/>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rPr>
                <w:rFonts w:hint="eastAsia" w:ascii="仿宋" w:hAnsi="仿宋" w:eastAsia="仿宋" w:cs="仿宋"/>
                <w:i w:val="0"/>
                <w:iCs w:val="0"/>
                <w:caps w:val="0"/>
                <w:color w:val="000000"/>
                <w:spacing w:val="0"/>
                <w:sz w:val="21"/>
                <w:szCs w:val="21"/>
              </w:rPr>
            </w:pPr>
          </w:p>
        </w:tc>
        <w:tc>
          <w:tcPr>
            <w:tcW w:w="2827" w:type="dxa"/>
            <w:gridSpan w:val="2"/>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年度工作计划</w:t>
            </w:r>
          </w:p>
        </w:tc>
        <w:tc>
          <w:tcPr>
            <w:tcW w:w="2935" w:type="dxa"/>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局年度工作安排</w:t>
            </w:r>
          </w:p>
        </w:tc>
        <w:tc>
          <w:tcPr>
            <w:tcW w:w="1179" w:type="dxa"/>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各股室</w:t>
            </w:r>
          </w:p>
        </w:tc>
      </w:tr>
      <w:tr>
        <w:tblPrEx>
          <w:tblBorders>
            <w:top w:val="none" w:color="D8D8D8" w:sz="6" w:space="0"/>
            <w:left w:val="none" w:color="D8D8D8" w:sz="6" w:space="0"/>
            <w:bottom w:val="none" w:color="D8D8D8" w:sz="6" w:space="0"/>
            <w:right w:val="none" w:color="D8D8D8" w:sz="6" w:space="0"/>
            <w:insideH w:val="none" w:color="auto" w:sz="0" w:space="0"/>
            <w:insideV w:val="none" w:color="auto" w:sz="0" w:space="0"/>
          </w:tblBorders>
          <w:tblCellMar>
            <w:top w:w="0" w:type="dxa"/>
            <w:left w:w="0" w:type="dxa"/>
            <w:bottom w:w="0" w:type="dxa"/>
            <w:right w:w="0" w:type="dxa"/>
          </w:tblCellMar>
        </w:tblPrEx>
        <w:trPr>
          <w:jc w:val="center"/>
        </w:trPr>
        <w:tc>
          <w:tcPr>
            <w:tcW w:w="771" w:type="dxa"/>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9</w:t>
            </w:r>
          </w:p>
        </w:tc>
        <w:tc>
          <w:tcPr>
            <w:tcW w:w="963" w:type="dxa"/>
            <w:vMerge w:val="restart"/>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工作动态</w:t>
            </w:r>
          </w:p>
        </w:tc>
        <w:tc>
          <w:tcPr>
            <w:tcW w:w="2827" w:type="dxa"/>
            <w:gridSpan w:val="2"/>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工作进展情况</w:t>
            </w:r>
          </w:p>
        </w:tc>
        <w:tc>
          <w:tcPr>
            <w:tcW w:w="2935" w:type="dxa"/>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近期教育工作进展情况</w:t>
            </w:r>
          </w:p>
        </w:tc>
        <w:tc>
          <w:tcPr>
            <w:tcW w:w="1179" w:type="dxa"/>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各股室</w:t>
            </w:r>
          </w:p>
        </w:tc>
      </w:tr>
      <w:tr>
        <w:tblPrEx>
          <w:tblBorders>
            <w:top w:val="none" w:color="D8D8D8" w:sz="6" w:space="0"/>
            <w:left w:val="none" w:color="D8D8D8" w:sz="6" w:space="0"/>
            <w:bottom w:val="none" w:color="D8D8D8" w:sz="6" w:space="0"/>
            <w:right w:val="none" w:color="D8D8D8" w:sz="6" w:space="0"/>
            <w:insideH w:val="none" w:color="auto" w:sz="0" w:space="0"/>
            <w:insideV w:val="none" w:color="auto" w:sz="0" w:space="0"/>
          </w:tblBorders>
          <w:tblCellMar>
            <w:top w:w="0" w:type="dxa"/>
            <w:left w:w="0" w:type="dxa"/>
            <w:bottom w:w="0" w:type="dxa"/>
            <w:right w:w="0" w:type="dxa"/>
          </w:tblCellMar>
        </w:tblPrEx>
        <w:trPr>
          <w:jc w:val="center"/>
        </w:trPr>
        <w:tc>
          <w:tcPr>
            <w:tcW w:w="771" w:type="dxa"/>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10</w:t>
            </w:r>
          </w:p>
        </w:tc>
        <w:tc>
          <w:tcPr>
            <w:tcW w:w="963" w:type="dxa"/>
            <w:vMerge w:val="continue"/>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rPr>
                <w:rFonts w:hint="eastAsia" w:ascii="仿宋" w:hAnsi="仿宋" w:eastAsia="仿宋" w:cs="仿宋"/>
                <w:i w:val="0"/>
                <w:iCs w:val="0"/>
                <w:caps w:val="0"/>
                <w:color w:val="000000"/>
                <w:spacing w:val="0"/>
                <w:sz w:val="21"/>
                <w:szCs w:val="21"/>
              </w:rPr>
            </w:pPr>
          </w:p>
        </w:tc>
        <w:tc>
          <w:tcPr>
            <w:tcW w:w="2827" w:type="dxa"/>
            <w:gridSpan w:val="2"/>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主要活动</w:t>
            </w:r>
          </w:p>
        </w:tc>
        <w:tc>
          <w:tcPr>
            <w:tcW w:w="2935" w:type="dxa"/>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近期教育系统重要活动</w:t>
            </w:r>
          </w:p>
        </w:tc>
        <w:tc>
          <w:tcPr>
            <w:tcW w:w="1179" w:type="dxa"/>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各股室</w:t>
            </w:r>
          </w:p>
        </w:tc>
      </w:tr>
      <w:tr>
        <w:tblPrEx>
          <w:tblBorders>
            <w:top w:val="none" w:color="D8D8D8" w:sz="6" w:space="0"/>
            <w:left w:val="none" w:color="D8D8D8" w:sz="6" w:space="0"/>
            <w:bottom w:val="none" w:color="D8D8D8" w:sz="6" w:space="0"/>
            <w:right w:val="none" w:color="D8D8D8"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771" w:type="dxa"/>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11</w:t>
            </w:r>
          </w:p>
        </w:tc>
        <w:tc>
          <w:tcPr>
            <w:tcW w:w="963" w:type="dxa"/>
            <w:vMerge w:val="continue"/>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rPr>
                <w:rFonts w:hint="eastAsia" w:ascii="仿宋" w:hAnsi="仿宋" w:eastAsia="仿宋" w:cs="仿宋"/>
                <w:i w:val="0"/>
                <w:iCs w:val="0"/>
                <w:caps w:val="0"/>
                <w:color w:val="000000"/>
                <w:spacing w:val="0"/>
                <w:sz w:val="21"/>
                <w:szCs w:val="21"/>
              </w:rPr>
            </w:pPr>
          </w:p>
        </w:tc>
        <w:tc>
          <w:tcPr>
            <w:tcW w:w="2827" w:type="dxa"/>
            <w:gridSpan w:val="2"/>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重要会议</w:t>
            </w:r>
          </w:p>
        </w:tc>
        <w:tc>
          <w:tcPr>
            <w:tcW w:w="2935" w:type="dxa"/>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近期教育系统重要会议</w:t>
            </w:r>
          </w:p>
        </w:tc>
        <w:tc>
          <w:tcPr>
            <w:tcW w:w="1179" w:type="dxa"/>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各股室</w:t>
            </w:r>
          </w:p>
        </w:tc>
      </w:tr>
      <w:tr>
        <w:tblPrEx>
          <w:tblBorders>
            <w:top w:val="none" w:color="D8D8D8" w:sz="6" w:space="0"/>
            <w:left w:val="none" w:color="D8D8D8" w:sz="6" w:space="0"/>
            <w:bottom w:val="none" w:color="D8D8D8" w:sz="6" w:space="0"/>
            <w:right w:val="none" w:color="D8D8D8" w:sz="6" w:space="0"/>
            <w:insideH w:val="none" w:color="auto" w:sz="0" w:space="0"/>
            <w:insideV w:val="none" w:color="auto" w:sz="0" w:space="0"/>
          </w:tblBorders>
          <w:tblCellMar>
            <w:top w:w="0" w:type="dxa"/>
            <w:left w:w="0" w:type="dxa"/>
            <w:bottom w:w="0" w:type="dxa"/>
            <w:right w:w="0" w:type="dxa"/>
          </w:tblCellMar>
        </w:tblPrEx>
        <w:trPr>
          <w:jc w:val="center"/>
        </w:trPr>
        <w:tc>
          <w:tcPr>
            <w:tcW w:w="771" w:type="dxa"/>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12</w:t>
            </w:r>
          </w:p>
        </w:tc>
        <w:tc>
          <w:tcPr>
            <w:tcW w:w="963" w:type="dxa"/>
            <w:vMerge w:val="restart"/>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业务工作</w:t>
            </w:r>
          </w:p>
        </w:tc>
        <w:tc>
          <w:tcPr>
            <w:tcW w:w="2827" w:type="dxa"/>
            <w:gridSpan w:val="2"/>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行政许可</w:t>
            </w:r>
          </w:p>
        </w:tc>
        <w:tc>
          <w:tcPr>
            <w:tcW w:w="2935" w:type="dxa"/>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行政许可事项清单</w:t>
            </w:r>
          </w:p>
        </w:tc>
        <w:tc>
          <w:tcPr>
            <w:tcW w:w="1179" w:type="dxa"/>
            <w:vMerge w:val="restart"/>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办公室</w:t>
            </w:r>
          </w:p>
        </w:tc>
      </w:tr>
      <w:tr>
        <w:tblPrEx>
          <w:tblBorders>
            <w:top w:val="none" w:color="D8D8D8" w:sz="6" w:space="0"/>
            <w:left w:val="none" w:color="D8D8D8" w:sz="6" w:space="0"/>
            <w:bottom w:val="none" w:color="D8D8D8" w:sz="6" w:space="0"/>
            <w:right w:val="none" w:color="D8D8D8" w:sz="6" w:space="0"/>
            <w:insideH w:val="none" w:color="auto" w:sz="0" w:space="0"/>
            <w:insideV w:val="none" w:color="auto" w:sz="0" w:space="0"/>
          </w:tblBorders>
          <w:tblCellMar>
            <w:top w:w="0" w:type="dxa"/>
            <w:left w:w="0" w:type="dxa"/>
            <w:bottom w:w="0" w:type="dxa"/>
            <w:right w:w="0" w:type="dxa"/>
          </w:tblCellMar>
        </w:tblPrEx>
        <w:trPr>
          <w:jc w:val="center"/>
        </w:trPr>
        <w:tc>
          <w:tcPr>
            <w:tcW w:w="771" w:type="dxa"/>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13</w:t>
            </w:r>
          </w:p>
        </w:tc>
        <w:tc>
          <w:tcPr>
            <w:tcW w:w="963" w:type="dxa"/>
            <w:vMerge w:val="continue"/>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rPr>
                <w:rFonts w:hint="eastAsia" w:ascii="仿宋" w:hAnsi="仿宋" w:eastAsia="仿宋" w:cs="仿宋"/>
                <w:i w:val="0"/>
                <w:iCs w:val="0"/>
                <w:caps w:val="0"/>
                <w:color w:val="000000"/>
                <w:spacing w:val="0"/>
                <w:sz w:val="21"/>
                <w:szCs w:val="21"/>
              </w:rPr>
            </w:pPr>
          </w:p>
        </w:tc>
        <w:tc>
          <w:tcPr>
            <w:tcW w:w="2827" w:type="dxa"/>
            <w:gridSpan w:val="2"/>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行政处罚</w:t>
            </w:r>
          </w:p>
        </w:tc>
        <w:tc>
          <w:tcPr>
            <w:tcW w:w="2935" w:type="dxa"/>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行政处罚事项清单</w:t>
            </w:r>
          </w:p>
        </w:tc>
        <w:tc>
          <w:tcPr>
            <w:tcW w:w="1179" w:type="dxa"/>
            <w:vMerge w:val="continue"/>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rPr>
                <w:rFonts w:hint="eastAsia" w:ascii="仿宋" w:hAnsi="仿宋" w:eastAsia="仿宋" w:cs="仿宋"/>
                <w:i w:val="0"/>
                <w:iCs w:val="0"/>
                <w:caps w:val="0"/>
                <w:color w:val="000000"/>
                <w:spacing w:val="0"/>
                <w:sz w:val="21"/>
                <w:szCs w:val="21"/>
              </w:rPr>
            </w:pPr>
          </w:p>
        </w:tc>
      </w:tr>
      <w:tr>
        <w:tblPrEx>
          <w:tblBorders>
            <w:top w:val="none" w:color="D8D8D8" w:sz="6" w:space="0"/>
            <w:left w:val="none" w:color="D8D8D8" w:sz="6" w:space="0"/>
            <w:bottom w:val="none" w:color="D8D8D8" w:sz="6" w:space="0"/>
            <w:right w:val="none" w:color="D8D8D8"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771" w:type="dxa"/>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14</w:t>
            </w:r>
          </w:p>
        </w:tc>
        <w:tc>
          <w:tcPr>
            <w:tcW w:w="963" w:type="dxa"/>
            <w:vMerge w:val="continue"/>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rPr>
                <w:rFonts w:hint="eastAsia" w:ascii="仿宋" w:hAnsi="仿宋" w:eastAsia="仿宋" w:cs="仿宋"/>
                <w:i w:val="0"/>
                <w:iCs w:val="0"/>
                <w:caps w:val="0"/>
                <w:color w:val="000000"/>
                <w:spacing w:val="0"/>
                <w:sz w:val="21"/>
                <w:szCs w:val="21"/>
              </w:rPr>
            </w:pPr>
          </w:p>
        </w:tc>
        <w:tc>
          <w:tcPr>
            <w:tcW w:w="2827" w:type="dxa"/>
            <w:gridSpan w:val="2"/>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行政许可事项办事指南</w:t>
            </w:r>
          </w:p>
        </w:tc>
        <w:tc>
          <w:tcPr>
            <w:tcW w:w="2935" w:type="dxa"/>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许可事项办事指引</w:t>
            </w:r>
          </w:p>
        </w:tc>
        <w:tc>
          <w:tcPr>
            <w:tcW w:w="1179" w:type="dxa"/>
            <w:vMerge w:val="continue"/>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rPr>
                <w:rFonts w:hint="eastAsia" w:ascii="仿宋" w:hAnsi="仿宋" w:eastAsia="仿宋" w:cs="仿宋"/>
                <w:i w:val="0"/>
                <w:iCs w:val="0"/>
                <w:caps w:val="0"/>
                <w:color w:val="000000"/>
                <w:spacing w:val="0"/>
                <w:sz w:val="21"/>
                <w:szCs w:val="21"/>
              </w:rPr>
            </w:pPr>
          </w:p>
        </w:tc>
      </w:tr>
      <w:tr>
        <w:tblPrEx>
          <w:tblBorders>
            <w:top w:val="none" w:color="D8D8D8" w:sz="6" w:space="0"/>
            <w:left w:val="none" w:color="D8D8D8" w:sz="6" w:space="0"/>
            <w:bottom w:val="none" w:color="D8D8D8" w:sz="6" w:space="0"/>
            <w:right w:val="none" w:color="D8D8D8" w:sz="6" w:space="0"/>
            <w:insideH w:val="none" w:color="auto" w:sz="0" w:space="0"/>
            <w:insideV w:val="none" w:color="auto" w:sz="0" w:space="0"/>
          </w:tblBorders>
          <w:tblCellMar>
            <w:top w:w="0" w:type="dxa"/>
            <w:left w:w="0" w:type="dxa"/>
            <w:bottom w:w="0" w:type="dxa"/>
            <w:right w:w="0" w:type="dxa"/>
          </w:tblCellMar>
        </w:tblPrEx>
        <w:trPr>
          <w:jc w:val="center"/>
        </w:trPr>
        <w:tc>
          <w:tcPr>
            <w:tcW w:w="771" w:type="dxa"/>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15</w:t>
            </w:r>
          </w:p>
        </w:tc>
        <w:tc>
          <w:tcPr>
            <w:tcW w:w="963" w:type="dxa"/>
            <w:vMerge w:val="restart"/>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统计信息</w:t>
            </w:r>
          </w:p>
        </w:tc>
        <w:tc>
          <w:tcPr>
            <w:tcW w:w="2827" w:type="dxa"/>
            <w:gridSpan w:val="2"/>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财政预算、决算报告</w:t>
            </w:r>
          </w:p>
        </w:tc>
        <w:tc>
          <w:tcPr>
            <w:tcW w:w="2935" w:type="dxa"/>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每年度教育系统财政预、决算报告</w:t>
            </w:r>
          </w:p>
        </w:tc>
        <w:tc>
          <w:tcPr>
            <w:tcW w:w="1179" w:type="dxa"/>
            <w:vMerge w:val="restart"/>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计财股</w:t>
            </w:r>
          </w:p>
        </w:tc>
      </w:tr>
      <w:tr>
        <w:tblPrEx>
          <w:tblBorders>
            <w:top w:val="none" w:color="D8D8D8" w:sz="6" w:space="0"/>
            <w:left w:val="none" w:color="D8D8D8" w:sz="6" w:space="0"/>
            <w:bottom w:val="none" w:color="D8D8D8" w:sz="6" w:space="0"/>
            <w:right w:val="none" w:color="D8D8D8" w:sz="6" w:space="0"/>
            <w:insideH w:val="none" w:color="auto" w:sz="0" w:space="0"/>
            <w:insideV w:val="none" w:color="auto" w:sz="0" w:space="0"/>
          </w:tblBorders>
          <w:tblCellMar>
            <w:top w:w="0" w:type="dxa"/>
            <w:left w:w="0" w:type="dxa"/>
            <w:bottom w:w="0" w:type="dxa"/>
            <w:right w:w="0" w:type="dxa"/>
          </w:tblCellMar>
        </w:tblPrEx>
        <w:trPr>
          <w:jc w:val="center"/>
        </w:trPr>
        <w:tc>
          <w:tcPr>
            <w:tcW w:w="771" w:type="dxa"/>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16</w:t>
            </w:r>
          </w:p>
        </w:tc>
        <w:tc>
          <w:tcPr>
            <w:tcW w:w="963" w:type="dxa"/>
            <w:vMerge w:val="continue"/>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rPr>
                <w:rFonts w:hint="eastAsia" w:ascii="仿宋" w:hAnsi="仿宋" w:eastAsia="仿宋" w:cs="仿宋"/>
                <w:i w:val="0"/>
                <w:iCs w:val="0"/>
                <w:caps w:val="0"/>
                <w:color w:val="000000"/>
                <w:spacing w:val="0"/>
                <w:sz w:val="21"/>
                <w:szCs w:val="21"/>
              </w:rPr>
            </w:pPr>
          </w:p>
        </w:tc>
        <w:tc>
          <w:tcPr>
            <w:tcW w:w="2827" w:type="dxa"/>
            <w:gridSpan w:val="2"/>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“三公”经费</w:t>
            </w:r>
          </w:p>
        </w:tc>
        <w:tc>
          <w:tcPr>
            <w:tcW w:w="2935" w:type="dxa"/>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“三公”经费支出情况公示</w:t>
            </w:r>
          </w:p>
        </w:tc>
        <w:tc>
          <w:tcPr>
            <w:tcW w:w="1179" w:type="dxa"/>
            <w:vMerge w:val="continue"/>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rPr>
                <w:rFonts w:hint="eastAsia" w:ascii="仿宋" w:hAnsi="仿宋" w:eastAsia="仿宋" w:cs="仿宋"/>
                <w:i w:val="0"/>
                <w:iCs w:val="0"/>
                <w:caps w:val="0"/>
                <w:color w:val="000000"/>
                <w:spacing w:val="0"/>
                <w:sz w:val="21"/>
                <w:szCs w:val="21"/>
              </w:rPr>
            </w:pPr>
          </w:p>
        </w:tc>
      </w:tr>
      <w:tr>
        <w:tblPrEx>
          <w:tblBorders>
            <w:top w:val="none" w:color="D8D8D8" w:sz="6" w:space="0"/>
            <w:left w:val="none" w:color="D8D8D8" w:sz="6" w:space="0"/>
            <w:bottom w:val="none" w:color="D8D8D8" w:sz="6" w:space="0"/>
            <w:right w:val="none" w:color="D8D8D8"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771" w:type="dxa"/>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17</w:t>
            </w:r>
          </w:p>
        </w:tc>
        <w:tc>
          <w:tcPr>
            <w:tcW w:w="963" w:type="dxa"/>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其他</w:t>
            </w:r>
          </w:p>
        </w:tc>
        <w:tc>
          <w:tcPr>
            <w:tcW w:w="5762" w:type="dxa"/>
            <w:gridSpan w:val="3"/>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其他教育信息</w:t>
            </w:r>
          </w:p>
        </w:tc>
        <w:tc>
          <w:tcPr>
            <w:tcW w:w="1179" w:type="dxa"/>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各相关股室</w:t>
            </w:r>
          </w:p>
        </w:tc>
      </w:tr>
      <w:tr>
        <w:tblPrEx>
          <w:tblBorders>
            <w:top w:val="none" w:color="D8D8D8" w:sz="6" w:space="0"/>
            <w:left w:val="none" w:color="D8D8D8" w:sz="6" w:space="0"/>
            <w:bottom w:val="none" w:color="D8D8D8" w:sz="6" w:space="0"/>
            <w:right w:val="none" w:color="D8D8D8"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771" w:type="dxa"/>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18</w:t>
            </w:r>
          </w:p>
        </w:tc>
        <w:tc>
          <w:tcPr>
            <w:tcW w:w="963" w:type="dxa"/>
            <w:vMerge w:val="restart"/>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重点领域</w:t>
            </w:r>
          </w:p>
        </w:tc>
        <w:tc>
          <w:tcPr>
            <w:tcW w:w="1702" w:type="dxa"/>
            <w:vMerge w:val="restart"/>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2D66A5"/>
                <w:spacing w:val="0"/>
                <w:kern w:val="0"/>
                <w:sz w:val="21"/>
                <w:szCs w:val="21"/>
                <w:u w:val="single"/>
                <w:lang w:val="en-US" w:eastAsia="zh-CN" w:bidi="ar"/>
              </w:rPr>
              <w:fldChar w:fldCharType="begin"/>
            </w:r>
            <w:r>
              <w:rPr>
                <w:rFonts w:hint="eastAsia" w:ascii="仿宋" w:hAnsi="仿宋" w:eastAsia="仿宋" w:cs="仿宋"/>
                <w:i w:val="0"/>
                <w:iCs w:val="0"/>
                <w:caps w:val="0"/>
                <w:color w:val="2D66A5"/>
                <w:spacing w:val="0"/>
                <w:kern w:val="0"/>
                <w:sz w:val="21"/>
                <w:szCs w:val="21"/>
                <w:u w:val="single"/>
                <w:lang w:val="en-US" w:eastAsia="zh-CN" w:bidi="ar"/>
              </w:rPr>
              <w:instrText xml:space="preserve"> HYPERLINK "https://www.sg.gov.cn/zw/zdlyxxgk/qjq/dzjg/qjqjyj/czysjshsgjfgk" \o "https://www.sg.gov.cn/zw/zdlyxxgk/qjq/dzjg/qjqjyj/czysjshsgjfgk" </w:instrText>
            </w:r>
            <w:r>
              <w:rPr>
                <w:rFonts w:hint="eastAsia" w:ascii="仿宋" w:hAnsi="仿宋" w:eastAsia="仿宋" w:cs="仿宋"/>
                <w:i w:val="0"/>
                <w:iCs w:val="0"/>
                <w:caps w:val="0"/>
                <w:color w:val="2D66A5"/>
                <w:spacing w:val="0"/>
                <w:kern w:val="0"/>
                <w:sz w:val="21"/>
                <w:szCs w:val="21"/>
                <w:u w:val="single"/>
                <w:lang w:val="en-US" w:eastAsia="zh-CN" w:bidi="ar"/>
              </w:rPr>
              <w:fldChar w:fldCharType="separate"/>
            </w:r>
            <w:r>
              <w:rPr>
                <w:rStyle w:val="5"/>
                <w:rFonts w:hint="eastAsia" w:ascii="仿宋" w:hAnsi="仿宋" w:eastAsia="仿宋" w:cs="仿宋"/>
                <w:i w:val="0"/>
                <w:iCs w:val="0"/>
                <w:caps w:val="0"/>
                <w:color w:val="2D66A5"/>
                <w:spacing w:val="0"/>
                <w:sz w:val="21"/>
                <w:szCs w:val="21"/>
                <w:u w:val="single"/>
              </w:rPr>
              <w:t> 财政预算决算和“三公”经费公开</w:t>
            </w:r>
            <w:r>
              <w:rPr>
                <w:rFonts w:hint="eastAsia" w:ascii="仿宋" w:hAnsi="仿宋" w:eastAsia="仿宋" w:cs="仿宋"/>
                <w:i w:val="0"/>
                <w:iCs w:val="0"/>
                <w:caps w:val="0"/>
                <w:color w:val="2D66A5"/>
                <w:spacing w:val="0"/>
                <w:kern w:val="0"/>
                <w:sz w:val="21"/>
                <w:szCs w:val="21"/>
                <w:u w:val="single"/>
                <w:lang w:val="en-US" w:eastAsia="zh-CN" w:bidi="ar"/>
              </w:rPr>
              <w:fldChar w:fldCharType="end"/>
            </w:r>
          </w:p>
        </w:tc>
        <w:tc>
          <w:tcPr>
            <w:tcW w:w="1125" w:type="dxa"/>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部门预决算</w:t>
            </w:r>
          </w:p>
        </w:tc>
        <w:tc>
          <w:tcPr>
            <w:tcW w:w="2935" w:type="dxa"/>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每年度教育系统财政预、决算情况</w:t>
            </w:r>
          </w:p>
        </w:tc>
        <w:tc>
          <w:tcPr>
            <w:tcW w:w="1179" w:type="dxa"/>
            <w:vMerge w:val="restart"/>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计财股</w:t>
            </w:r>
          </w:p>
        </w:tc>
      </w:tr>
      <w:tr>
        <w:tblPrEx>
          <w:tblBorders>
            <w:top w:val="none" w:color="D8D8D8" w:sz="6" w:space="0"/>
            <w:left w:val="none" w:color="D8D8D8" w:sz="6" w:space="0"/>
            <w:bottom w:val="none" w:color="D8D8D8" w:sz="6" w:space="0"/>
            <w:right w:val="none" w:color="D8D8D8"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771" w:type="dxa"/>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19</w:t>
            </w:r>
          </w:p>
        </w:tc>
        <w:tc>
          <w:tcPr>
            <w:tcW w:w="963" w:type="dxa"/>
            <w:vMerge w:val="continue"/>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rPr>
                <w:rFonts w:hint="eastAsia" w:ascii="仿宋" w:hAnsi="仿宋" w:eastAsia="仿宋" w:cs="仿宋"/>
                <w:i w:val="0"/>
                <w:iCs w:val="0"/>
                <w:caps w:val="0"/>
                <w:color w:val="000000"/>
                <w:spacing w:val="0"/>
                <w:sz w:val="21"/>
                <w:szCs w:val="21"/>
              </w:rPr>
            </w:pPr>
          </w:p>
        </w:tc>
        <w:tc>
          <w:tcPr>
            <w:tcW w:w="1702" w:type="dxa"/>
            <w:vMerge w:val="continue"/>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rPr>
                <w:rFonts w:hint="eastAsia" w:ascii="仿宋" w:hAnsi="仿宋" w:eastAsia="仿宋" w:cs="仿宋"/>
                <w:i w:val="0"/>
                <w:iCs w:val="0"/>
                <w:caps w:val="0"/>
                <w:color w:val="000000"/>
                <w:spacing w:val="0"/>
                <w:sz w:val="21"/>
                <w:szCs w:val="21"/>
              </w:rPr>
            </w:pPr>
          </w:p>
        </w:tc>
        <w:tc>
          <w:tcPr>
            <w:tcW w:w="1125" w:type="dxa"/>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三公经费</w:t>
            </w:r>
          </w:p>
        </w:tc>
        <w:tc>
          <w:tcPr>
            <w:tcW w:w="2935" w:type="dxa"/>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三公经费使用情况公示</w:t>
            </w:r>
          </w:p>
        </w:tc>
        <w:tc>
          <w:tcPr>
            <w:tcW w:w="1179" w:type="dxa"/>
            <w:vMerge w:val="continue"/>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rPr>
                <w:rFonts w:hint="eastAsia" w:ascii="仿宋" w:hAnsi="仿宋" w:eastAsia="仿宋" w:cs="仿宋"/>
                <w:i w:val="0"/>
                <w:iCs w:val="0"/>
                <w:caps w:val="0"/>
                <w:color w:val="000000"/>
                <w:spacing w:val="0"/>
                <w:sz w:val="21"/>
                <w:szCs w:val="21"/>
              </w:rPr>
            </w:pPr>
          </w:p>
        </w:tc>
      </w:tr>
      <w:tr>
        <w:tblPrEx>
          <w:tblBorders>
            <w:top w:val="none" w:color="D8D8D8" w:sz="6" w:space="0"/>
            <w:left w:val="none" w:color="D8D8D8" w:sz="6" w:space="0"/>
            <w:bottom w:val="none" w:color="D8D8D8" w:sz="6" w:space="0"/>
            <w:right w:val="none" w:color="D8D8D8" w:sz="6" w:space="0"/>
            <w:insideH w:val="none" w:color="auto" w:sz="0" w:space="0"/>
            <w:insideV w:val="none" w:color="auto" w:sz="0" w:space="0"/>
          </w:tblBorders>
          <w:tblCellMar>
            <w:top w:w="0" w:type="dxa"/>
            <w:left w:w="0" w:type="dxa"/>
            <w:bottom w:w="0" w:type="dxa"/>
            <w:right w:w="0" w:type="dxa"/>
          </w:tblCellMar>
        </w:tblPrEx>
        <w:trPr>
          <w:jc w:val="center"/>
        </w:trPr>
        <w:tc>
          <w:tcPr>
            <w:tcW w:w="771" w:type="dxa"/>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20</w:t>
            </w:r>
          </w:p>
        </w:tc>
        <w:tc>
          <w:tcPr>
            <w:tcW w:w="963" w:type="dxa"/>
            <w:vMerge w:val="continue"/>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rPr>
                <w:rFonts w:hint="eastAsia" w:ascii="仿宋" w:hAnsi="仿宋" w:eastAsia="仿宋" w:cs="仿宋"/>
                <w:i w:val="0"/>
                <w:iCs w:val="0"/>
                <w:caps w:val="0"/>
                <w:color w:val="000000"/>
                <w:spacing w:val="0"/>
                <w:sz w:val="21"/>
                <w:szCs w:val="21"/>
              </w:rPr>
            </w:pPr>
          </w:p>
        </w:tc>
        <w:tc>
          <w:tcPr>
            <w:tcW w:w="1702" w:type="dxa"/>
            <w:vMerge w:val="continue"/>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rPr>
                <w:rFonts w:hint="eastAsia" w:ascii="仿宋" w:hAnsi="仿宋" w:eastAsia="仿宋" w:cs="仿宋"/>
                <w:i w:val="0"/>
                <w:iCs w:val="0"/>
                <w:caps w:val="0"/>
                <w:color w:val="000000"/>
                <w:spacing w:val="0"/>
                <w:sz w:val="21"/>
                <w:szCs w:val="21"/>
              </w:rPr>
            </w:pPr>
          </w:p>
        </w:tc>
        <w:tc>
          <w:tcPr>
            <w:tcW w:w="1125" w:type="dxa"/>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财政专项信息</w:t>
            </w:r>
          </w:p>
        </w:tc>
        <w:tc>
          <w:tcPr>
            <w:tcW w:w="2935" w:type="dxa"/>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其他财政信息</w:t>
            </w:r>
          </w:p>
        </w:tc>
        <w:tc>
          <w:tcPr>
            <w:tcW w:w="1179" w:type="dxa"/>
            <w:vMerge w:val="continue"/>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rPr>
                <w:rFonts w:hint="eastAsia" w:ascii="仿宋" w:hAnsi="仿宋" w:eastAsia="仿宋" w:cs="仿宋"/>
                <w:i w:val="0"/>
                <w:iCs w:val="0"/>
                <w:caps w:val="0"/>
                <w:color w:val="000000"/>
                <w:spacing w:val="0"/>
                <w:sz w:val="21"/>
                <w:szCs w:val="21"/>
              </w:rPr>
            </w:pPr>
          </w:p>
        </w:tc>
      </w:tr>
      <w:tr>
        <w:tblPrEx>
          <w:tblBorders>
            <w:top w:val="none" w:color="D8D8D8" w:sz="6" w:space="0"/>
            <w:left w:val="none" w:color="D8D8D8" w:sz="6" w:space="0"/>
            <w:bottom w:val="none" w:color="D8D8D8" w:sz="6" w:space="0"/>
            <w:right w:val="none" w:color="D8D8D8" w:sz="6" w:space="0"/>
            <w:insideH w:val="none" w:color="auto" w:sz="0" w:space="0"/>
            <w:insideV w:val="none" w:color="auto" w:sz="0" w:space="0"/>
          </w:tblBorders>
          <w:tblCellMar>
            <w:top w:w="0" w:type="dxa"/>
            <w:left w:w="0" w:type="dxa"/>
            <w:bottom w:w="0" w:type="dxa"/>
            <w:right w:w="0" w:type="dxa"/>
          </w:tblCellMar>
        </w:tblPrEx>
        <w:trPr>
          <w:jc w:val="center"/>
        </w:trPr>
        <w:tc>
          <w:tcPr>
            <w:tcW w:w="771" w:type="dxa"/>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21</w:t>
            </w:r>
          </w:p>
        </w:tc>
        <w:tc>
          <w:tcPr>
            <w:tcW w:w="963" w:type="dxa"/>
            <w:vMerge w:val="continue"/>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rPr>
                <w:rFonts w:hint="eastAsia" w:ascii="仿宋" w:hAnsi="仿宋" w:eastAsia="仿宋" w:cs="仿宋"/>
                <w:i w:val="0"/>
                <w:iCs w:val="0"/>
                <w:caps w:val="0"/>
                <w:color w:val="000000"/>
                <w:spacing w:val="0"/>
                <w:sz w:val="21"/>
                <w:szCs w:val="21"/>
              </w:rPr>
            </w:pPr>
          </w:p>
        </w:tc>
        <w:tc>
          <w:tcPr>
            <w:tcW w:w="2827" w:type="dxa"/>
            <w:gridSpan w:val="2"/>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高校信息</w:t>
            </w:r>
          </w:p>
        </w:tc>
        <w:tc>
          <w:tcPr>
            <w:tcW w:w="2935" w:type="dxa"/>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辖区内高校信息公开</w:t>
            </w:r>
          </w:p>
        </w:tc>
        <w:tc>
          <w:tcPr>
            <w:tcW w:w="1179" w:type="dxa"/>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办公室</w:t>
            </w:r>
          </w:p>
        </w:tc>
      </w:tr>
      <w:tr>
        <w:tblPrEx>
          <w:tblBorders>
            <w:top w:val="none" w:color="D8D8D8" w:sz="6" w:space="0"/>
            <w:left w:val="none" w:color="D8D8D8" w:sz="6" w:space="0"/>
            <w:bottom w:val="none" w:color="D8D8D8" w:sz="6" w:space="0"/>
            <w:right w:val="none" w:color="D8D8D8" w:sz="6" w:space="0"/>
            <w:insideH w:val="none" w:color="auto" w:sz="0" w:space="0"/>
            <w:insideV w:val="none" w:color="auto" w:sz="0" w:space="0"/>
          </w:tblBorders>
          <w:tblCellMar>
            <w:top w:w="0" w:type="dxa"/>
            <w:left w:w="0" w:type="dxa"/>
            <w:bottom w:w="0" w:type="dxa"/>
            <w:right w:w="0" w:type="dxa"/>
          </w:tblCellMar>
        </w:tblPrEx>
        <w:trPr>
          <w:jc w:val="center"/>
        </w:trPr>
        <w:tc>
          <w:tcPr>
            <w:tcW w:w="771" w:type="dxa"/>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22</w:t>
            </w:r>
          </w:p>
        </w:tc>
        <w:tc>
          <w:tcPr>
            <w:tcW w:w="963" w:type="dxa"/>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rPr>
                <w:rFonts w:hint="eastAsia" w:ascii="仿宋" w:hAnsi="仿宋" w:eastAsia="仿宋" w:cs="仿宋"/>
                <w:i w:val="0"/>
                <w:iCs w:val="0"/>
                <w:caps w:val="0"/>
                <w:color w:val="000000"/>
                <w:spacing w:val="0"/>
                <w:sz w:val="21"/>
                <w:szCs w:val="21"/>
              </w:rPr>
            </w:pPr>
          </w:p>
        </w:tc>
        <w:tc>
          <w:tcPr>
            <w:tcW w:w="2827" w:type="dxa"/>
            <w:gridSpan w:val="2"/>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《政府信息公开工作年度报告》</w:t>
            </w:r>
          </w:p>
        </w:tc>
        <w:tc>
          <w:tcPr>
            <w:tcW w:w="2935" w:type="dxa"/>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仿宋" w:hAnsi="仿宋" w:eastAsia="仿宋" w:cs="仿宋"/>
                <w:i w:val="0"/>
                <w:iCs w:val="0"/>
                <w:caps w:val="0"/>
                <w:color w:val="000000"/>
                <w:spacing w:val="0"/>
                <w:kern w:val="0"/>
                <w:sz w:val="21"/>
                <w:szCs w:val="21"/>
                <w:lang w:val="en-US" w:eastAsia="zh-CN" w:bidi="ar"/>
              </w:rPr>
            </w:pPr>
          </w:p>
        </w:tc>
        <w:tc>
          <w:tcPr>
            <w:tcW w:w="1179" w:type="dxa"/>
            <w:tcBorders>
              <w:top w:val="single" w:color="D8D8D8" w:sz="6" w:space="0"/>
              <w:left w:val="single" w:color="D8D8D8" w:sz="6" w:space="0"/>
              <w:bottom w:val="single" w:color="D8D8D8" w:sz="6" w:space="0"/>
              <w:right w:val="single" w:color="D8D8D8"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办公室</w:t>
            </w:r>
          </w:p>
        </w:tc>
      </w:tr>
    </w:tbl>
    <w:p>
      <w:pPr>
        <w:rPr>
          <w:rFonts w:hint="eastAsia" w:ascii="微软雅黑" w:hAnsi="微软雅黑" w:eastAsia="微软雅黑" w:cs="微软雅黑"/>
          <w:i w:val="0"/>
          <w:iCs w:val="0"/>
          <w:caps w:val="0"/>
          <w:color w:val="424242"/>
          <w:spacing w:val="0"/>
          <w:sz w:val="27"/>
          <w:szCs w:val="27"/>
          <w:shd w:val="clear" w:fill="FFFFFF"/>
        </w:rPr>
      </w:pPr>
    </w:p>
    <w:p>
      <w:pPr>
        <w:rPr>
          <w:rFonts w:hint="eastAsia" w:ascii="微软雅黑" w:hAnsi="微软雅黑" w:eastAsia="微软雅黑" w:cs="微软雅黑"/>
          <w:i w:val="0"/>
          <w:iCs w:val="0"/>
          <w:caps w:val="0"/>
          <w:color w:val="424242"/>
          <w:spacing w:val="0"/>
          <w:sz w:val="27"/>
          <w:szCs w:val="27"/>
          <w:shd w:val="clear" w:fill="FFFFFF"/>
        </w:rPr>
      </w:pPr>
    </w:p>
    <w:p>
      <w:pPr>
        <w:jc w:val="center"/>
        <w:rPr>
          <w:rFonts w:hint="eastAsia" w:ascii="微软雅黑" w:hAnsi="微软雅黑" w:eastAsia="微软雅黑" w:cs="微软雅黑"/>
          <w:i w:val="0"/>
          <w:iCs w:val="0"/>
          <w:caps w:val="0"/>
          <w:color w:val="424242"/>
          <w:spacing w:val="0"/>
          <w:sz w:val="27"/>
          <w:szCs w:val="27"/>
          <w:shd w:val="clear" w:fill="FFFFFF"/>
          <w:lang w:val="en-US" w:eastAsia="zh-CN"/>
        </w:rPr>
      </w:pPr>
      <w:r>
        <w:rPr>
          <w:rFonts w:hint="eastAsia" w:ascii="微软雅黑" w:hAnsi="微软雅黑" w:eastAsia="微软雅黑" w:cs="微软雅黑"/>
          <w:i w:val="0"/>
          <w:iCs w:val="0"/>
          <w:caps w:val="0"/>
          <w:color w:val="424242"/>
          <w:spacing w:val="0"/>
          <w:sz w:val="27"/>
          <w:szCs w:val="27"/>
          <w:shd w:val="clear" w:fill="FFFFFF"/>
          <w:lang w:val="en-US" w:eastAsia="zh-CN"/>
        </w:rPr>
        <w:t xml:space="preserve">                                              曲江区教育局</w:t>
      </w:r>
    </w:p>
    <w:p>
      <w:pPr>
        <w:jc w:val="right"/>
        <w:rPr>
          <w:rFonts w:hint="eastAsia" w:ascii="微软雅黑" w:hAnsi="微软雅黑" w:eastAsia="微软雅黑" w:cs="微软雅黑"/>
          <w:i w:val="0"/>
          <w:iCs w:val="0"/>
          <w:caps w:val="0"/>
          <w:color w:val="424242"/>
          <w:spacing w:val="0"/>
          <w:sz w:val="27"/>
          <w:szCs w:val="27"/>
          <w:shd w:val="clear" w:fill="FFFFFF"/>
          <w:lang w:val="en-US" w:eastAsia="zh-CN"/>
        </w:rPr>
      </w:pPr>
      <w:r>
        <w:rPr>
          <w:rFonts w:hint="eastAsia" w:ascii="微软雅黑" w:hAnsi="微软雅黑" w:eastAsia="微软雅黑" w:cs="微软雅黑"/>
          <w:i w:val="0"/>
          <w:iCs w:val="0"/>
          <w:caps w:val="0"/>
          <w:color w:val="424242"/>
          <w:spacing w:val="0"/>
          <w:sz w:val="27"/>
          <w:szCs w:val="27"/>
          <w:shd w:val="clear" w:fill="FFFFFF"/>
          <w:lang w:val="en-US" w:eastAsia="zh-CN"/>
        </w:rPr>
        <w:t>2025</w:t>
      </w:r>
      <w:bookmarkStart w:id="0" w:name="_GoBack"/>
      <w:bookmarkEnd w:id="0"/>
      <w:r>
        <w:rPr>
          <w:rFonts w:hint="eastAsia" w:ascii="微软雅黑" w:hAnsi="微软雅黑" w:eastAsia="微软雅黑" w:cs="微软雅黑"/>
          <w:i w:val="0"/>
          <w:iCs w:val="0"/>
          <w:caps w:val="0"/>
          <w:color w:val="424242"/>
          <w:spacing w:val="0"/>
          <w:sz w:val="27"/>
          <w:szCs w:val="27"/>
          <w:shd w:val="clear" w:fill="FFFFFF"/>
          <w:lang w:val="en-US" w:eastAsia="zh-CN"/>
        </w:rPr>
        <w:t>年1月10日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wNGI3ZGJlZThkNzM1MGNjZTU3ZWU5MTA0MDhkN2MifQ=="/>
  </w:docVars>
  <w:rsids>
    <w:rsidRoot w:val="79A34A28"/>
    <w:rsid w:val="0C71342F"/>
    <w:rsid w:val="201B630B"/>
    <w:rsid w:val="37863B71"/>
    <w:rsid w:val="62DA5A79"/>
    <w:rsid w:val="76EE38FE"/>
    <w:rsid w:val="79A34A2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835</Words>
  <Characters>904</Characters>
  <Lines>0</Lines>
  <Paragraphs>0</Paragraphs>
  <TotalTime>1</TotalTime>
  <ScaleCrop>false</ScaleCrop>
  <LinksUpToDate>false</LinksUpToDate>
  <CharactersWithSpaces>937</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2021-12-19T14:42:00Z</dcterms:created>
  <dc:creator>雪中宝</dc:creator>
  <cp:lastModifiedBy>Administrator</cp:lastModifiedBy>
  <dcterms:modified xsi:type="dcterms:W3CDTF">2025-04-21T04:10:10Z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7C9C86BB04D148C3923787D123F3501F</vt:lpwstr>
  </property>
</Properties>
</file>