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rPr>
          <w:rFonts w:hint="default" w:ascii="仿宋_GB2312" w:hAnsi="仿宋_GB2312" w:eastAsia="仿宋_GB2312" w:cs="仿宋_GB2312"/>
          <w:sz w:val="32"/>
          <w:szCs w:val="32"/>
          <w:lang w:val="en-US" w:eastAsia="zh-CN"/>
        </w:rPr>
      </w:pPr>
    </w:p>
    <w:p>
      <w:pPr>
        <w:jc w:val="center"/>
        <w:rPr>
          <w:rFonts w:hint="eastAsia" w:ascii="仿宋_GB2312" w:hAnsi="仿宋_GB2312" w:eastAsia="仿宋_GB2312" w:cs="仿宋_GB2312"/>
          <w:b/>
          <w:bCs/>
          <w:i w:val="0"/>
          <w:iCs w:val="0"/>
          <w:caps w:val="0"/>
          <w:color w:val="333333"/>
          <w:spacing w:val="0"/>
          <w:sz w:val="44"/>
          <w:szCs w:val="44"/>
          <w:shd w:val="clear" w:fill="FFFFFF"/>
          <w:lang w:val="en-US" w:eastAsia="zh-CN"/>
        </w:rPr>
      </w:pPr>
      <w:r>
        <w:rPr>
          <w:rFonts w:hint="eastAsia" w:ascii="仿宋_GB2312" w:hAnsi="仿宋_GB2312" w:eastAsia="仿宋_GB2312" w:cs="仿宋_GB2312"/>
          <w:b/>
          <w:bCs/>
          <w:i w:val="0"/>
          <w:iCs w:val="0"/>
          <w:caps w:val="0"/>
          <w:color w:val="333333"/>
          <w:spacing w:val="0"/>
          <w:sz w:val="44"/>
          <w:szCs w:val="44"/>
          <w:shd w:val="clear" w:fill="FFFFFF"/>
          <w:lang w:val="en-US" w:eastAsia="zh-CN"/>
        </w:rPr>
        <w:t>2023年韶关市曲江区2023年度第三方水土保持技术支持服务项目绩效自评报告</w:t>
      </w:r>
    </w:p>
    <w:p>
      <w:pPr>
        <w:jc w:val="center"/>
        <w:rPr>
          <w:rFonts w:hint="eastAsia" w:ascii="仿宋_GB2312" w:hAnsi="仿宋_GB2312" w:eastAsia="仿宋_GB2312" w:cs="仿宋_GB2312"/>
          <w:b/>
          <w:bCs/>
          <w:i w:val="0"/>
          <w:iCs w:val="0"/>
          <w:caps w:val="0"/>
          <w:color w:val="333333"/>
          <w:spacing w:val="0"/>
          <w:sz w:val="44"/>
          <w:szCs w:val="44"/>
          <w:shd w:val="clear" w:fill="FFFFFF"/>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583" w:firstLineChars="200"/>
        <w:textAlignment w:val="auto"/>
        <w:rPr>
          <w:rFonts w:hint="eastAsia" w:ascii="宋体" w:hAnsi="宋体" w:eastAsia="宋体" w:cs="宋体"/>
          <w:b/>
          <w:bCs/>
          <w:spacing w:val="-15"/>
          <w:sz w:val="32"/>
          <w:szCs w:val="32"/>
        </w:rPr>
      </w:pPr>
      <w:r>
        <w:rPr>
          <w:rFonts w:hint="eastAsia" w:ascii="宋体" w:hAnsi="宋体" w:eastAsia="宋体" w:cs="宋体"/>
          <w:b/>
          <w:bCs/>
          <w:spacing w:val="-15"/>
          <w:sz w:val="32"/>
          <w:szCs w:val="32"/>
        </w:rPr>
        <w:t>一、基本情况</w:t>
      </w:r>
    </w:p>
    <w:p>
      <w:pPr>
        <w:keepNext w:val="0"/>
        <w:keepLines w:val="0"/>
        <w:pageBreakBefore w:val="0"/>
        <w:widowControl w:val="0"/>
        <w:numPr>
          <w:ilvl w:val="0"/>
          <w:numId w:val="0"/>
        </w:numPr>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b w:val="0"/>
          <w:bCs w:val="0"/>
          <w:i w:val="0"/>
          <w:iCs w:val="0"/>
          <w:caps w:val="0"/>
          <w:color w:val="333333"/>
          <w:spacing w:val="0"/>
          <w:sz w:val="30"/>
          <w:szCs w:val="30"/>
          <w:shd w:val="clear" w:fill="FFFFFF"/>
          <w:lang w:val="en-US" w:eastAsia="zh-CN"/>
        </w:rPr>
      </w:pPr>
      <w:r>
        <w:rPr>
          <w:rFonts w:hint="eastAsia" w:ascii="仿宋_GB2312" w:hAnsi="仿宋_GB2312" w:eastAsia="仿宋_GB2312" w:cs="仿宋_GB2312"/>
          <w:b w:val="0"/>
          <w:bCs w:val="0"/>
          <w:i w:val="0"/>
          <w:iCs w:val="0"/>
          <w:caps w:val="0"/>
          <w:color w:val="333333"/>
          <w:spacing w:val="0"/>
          <w:sz w:val="30"/>
          <w:szCs w:val="30"/>
          <w:shd w:val="clear" w:fill="FFFFFF"/>
          <w:lang w:val="en-US" w:eastAsia="zh-CN"/>
        </w:rPr>
        <w:t>韶关市曲江区2023年度第三方水土保持技术支持服务项目服务内容为完成年度曲江区生产建设项目水土保持监督检查计划及图斑复核工作，通过上级对曲江区的年度水土保持考核工作，进一步加强全区水土保持监管工作。2023年3月30日签订合同，已完成水土保持监督核查工作，目前完成进度100%。</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仿宋_GB2312" w:hAnsi="仿宋_GB2312" w:eastAsia="仿宋_GB2312" w:cs="仿宋_GB2312"/>
          <w:b w:val="0"/>
          <w:bCs w:val="0"/>
          <w:i w:val="0"/>
          <w:iCs w:val="0"/>
          <w:caps w:val="0"/>
          <w:color w:val="333333"/>
          <w:spacing w:val="0"/>
          <w:sz w:val="30"/>
          <w:szCs w:val="30"/>
          <w:shd w:val="clear" w:fill="FFFFFF"/>
          <w:lang w:val="en-US" w:eastAsia="zh-CN"/>
        </w:rPr>
      </w:pPr>
      <w:r>
        <w:rPr>
          <w:rFonts w:hint="eastAsia" w:ascii="仿宋_GB2312" w:hAnsi="仿宋_GB2312" w:eastAsia="仿宋_GB2312" w:cs="仿宋_GB2312"/>
          <w:b w:val="0"/>
          <w:bCs w:val="0"/>
          <w:i w:val="0"/>
          <w:iCs w:val="0"/>
          <w:caps w:val="0"/>
          <w:color w:val="333333"/>
          <w:spacing w:val="0"/>
          <w:sz w:val="30"/>
          <w:szCs w:val="30"/>
          <w:shd w:val="clear" w:fill="FFFFFF"/>
          <w:lang w:val="en-US" w:eastAsia="zh-CN"/>
        </w:rPr>
        <w:t>2022年12月26日，韶关市财政局以《关于提前下达2023 年省级涉农统筹整合转移支付资金的通知》（韶曲财农[2022]163号文）下达省级涉农资金27.3万元用于韶关市曲江区2023年度第三方水土保持技术支持服务。</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仿宋_GB2312" w:hAnsi="仿宋_GB2312" w:eastAsia="仿宋_GB2312" w:cs="仿宋_GB2312"/>
          <w:b w:val="0"/>
          <w:bCs w:val="0"/>
          <w:i w:val="0"/>
          <w:iCs w:val="0"/>
          <w:caps w:val="0"/>
          <w:color w:val="333333"/>
          <w:spacing w:val="0"/>
          <w:sz w:val="30"/>
          <w:szCs w:val="30"/>
          <w:shd w:val="clear" w:fill="FFFFFF"/>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583" w:firstLineChars="200"/>
        <w:textAlignment w:val="auto"/>
        <w:rPr>
          <w:rFonts w:hint="eastAsia" w:ascii="宋体" w:hAnsi="宋体" w:eastAsia="宋体" w:cs="宋体"/>
          <w:b/>
          <w:bCs/>
          <w:spacing w:val="-15"/>
          <w:sz w:val="32"/>
          <w:szCs w:val="32"/>
        </w:rPr>
      </w:pPr>
      <w:r>
        <w:rPr>
          <w:rFonts w:hint="eastAsia" w:ascii="宋体" w:hAnsi="宋体" w:eastAsia="宋体" w:cs="宋体"/>
          <w:b/>
          <w:bCs/>
          <w:spacing w:val="-15"/>
          <w:sz w:val="32"/>
          <w:szCs w:val="32"/>
        </w:rPr>
        <w:t>二、自评情况</w:t>
      </w:r>
    </w:p>
    <w:p>
      <w:pPr>
        <w:keepNext w:val="0"/>
        <w:keepLines w:val="0"/>
        <w:pageBreakBefore w:val="0"/>
        <w:widowControl w:val="0"/>
        <w:kinsoku/>
        <w:wordWrap/>
        <w:overflowPunct/>
        <w:topLinePunct w:val="0"/>
        <w:autoSpaceDE/>
        <w:autoSpaceDN/>
        <w:bidi w:val="0"/>
        <w:adjustRightInd/>
        <w:snapToGrid/>
        <w:spacing w:line="360" w:lineRule="auto"/>
        <w:ind w:firstLine="355" w:firstLineChars="100"/>
        <w:textAlignment w:val="auto"/>
        <w:rPr>
          <w:rFonts w:hint="eastAsia" w:ascii="仿宋" w:hAnsi="仿宋" w:eastAsia="仿宋" w:cs="仿宋"/>
          <w:b/>
          <w:bCs/>
          <w:spacing w:val="27"/>
          <w:sz w:val="30"/>
          <w:szCs w:val="30"/>
        </w:rPr>
      </w:pPr>
      <w:r>
        <w:rPr>
          <w:rFonts w:hint="eastAsia" w:ascii="仿宋" w:hAnsi="仿宋" w:eastAsia="仿宋" w:cs="仿宋"/>
          <w:b/>
          <w:bCs/>
          <w:spacing w:val="27"/>
          <w:sz w:val="30"/>
          <w:szCs w:val="30"/>
        </w:rPr>
        <w:t>（一）自评分数</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b/>
          <w:bCs/>
          <w:spacing w:val="27"/>
          <w:sz w:val="32"/>
          <w:szCs w:val="32"/>
        </w:rPr>
      </w:pPr>
      <w:r>
        <w:rPr>
          <w:rFonts w:hint="eastAsia" w:ascii="仿宋_GB2312" w:hAnsi="仿宋_GB2312" w:eastAsia="仿宋_GB2312" w:cs="仿宋_GB2312"/>
          <w:b w:val="0"/>
          <w:bCs w:val="0"/>
          <w:i w:val="0"/>
          <w:iCs w:val="0"/>
          <w:caps w:val="0"/>
          <w:color w:val="333333"/>
          <w:spacing w:val="0"/>
          <w:sz w:val="32"/>
          <w:szCs w:val="32"/>
          <w:shd w:val="clear" w:fill="FFFFFF"/>
          <w:lang w:val="en-US" w:eastAsia="zh-CN"/>
        </w:rPr>
        <w:t>根据资金申报文件、工程实施方案、监理等资料，资金支付，工程合同、施工照片、付款票据，整个施工过程规范、安全，对工程施工中满意度等项目管理的相关文件，自评分数为100分。</w:t>
      </w:r>
    </w:p>
    <w:p>
      <w:pPr>
        <w:keepNext w:val="0"/>
        <w:keepLines w:val="0"/>
        <w:pageBreakBefore w:val="0"/>
        <w:widowControl w:val="0"/>
        <w:kinsoku/>
        <w:wordWrap/>
        <w:overflowPunct/>
        <w:topLinePunct w:val="0"/>
        <w:autoSpaceDE/>
        <w:autoSpaceDN/>
        <w:bidi w:val="0"/>
        <w:adjustRightInd/>
        <w:snapToGrid/>
        <w:spacing w:line="360" w:lineRule="auto"/>
        <w:ind w:firstLine="355" w:firstLineChars="100"/>
        <w:textAlignment w:val="auto"/>
        <w:rPr>
          <w:rFonts w:hint="eastAsia" w:ascii="仿宋" w:hAnsi="仿宋" w:eastAsia="仿宋" w:cs="仿宋"/>
          <w:b/>
          <w:bCs/>
          <w:spacing w:val="27"/>
          <w:sz w:val="30"/>
          <w:szCs w:val="30"/>
        </w:rPr>
      </w:pPr>
      <w:r>
        <w:rPr>
          <w:rFonts w:hint="eastAsia" w:ascii="仿宋" w:hAnsi="仿宋" w:eastAsia="仿宋" w:cs="仿宋"/>
          <w:b/>
          <w:bCs/>
          <w:spacing w:val="27"/>
          <w:sz w:val="30"/>
          <w:szCs w:val="30"/>
        </w:rPr>
        <w:t>（二）专项资金使用绩效</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b w:val="0"/>
          <w:bCs w:val="0"/>
          <w:i w:val="0"/>
          <w:iCs w:val="0"/>
          <w:caps w:val="0"/>
          <w:color w:val="333333"/>
          <w:spacing w:val="0"/>
          <w:sz w:val="32"/>
          <w:szCs w:val="32"/>
          <w:shd w:val="clear" w:fill="FFFFFF"/>
          <w:lang w:val="en-US" w:eastAsia="zh-CN"/>
        </w:rPr>
      </w:pPr>
      <w:r>
        <w:rPr>
          <w:rFonts w:hint="eastAsia" w:ascii="仿宋_GB2312" w:hAnsi="仿宋_GB2312" w:eastAsia="仿宋_GB2312" w:cs="仿宋_GB2312"/>
          <w:b w:val="0"/>
          <w:bCs w:val="0"/>
          <w:i w:val="0"/>
          <w:iCs w:val="0"/>
          <w:caps w:val="0"/>
          <w:color w:val="333333"/>
          <w:spacing w:val="0"/>
          <w:sz w:val="32"/>
          <w:szCs w:val="32"/>
          <w:shd w:val="clear" w:fill="FFFFFF"/>
          <w:lang w:val="en-US" w:eastAsia="zh-CN"/>
        </w:rPr>
        <w:t>（1）专项资金支出情况</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仿宋_GB2312" w:hAnsi="仿宋_GB2312" w:eastAsia="仿宋_GB2312" w:cs="仿宋_GB2312"/>
          <w:b w:val="0"/>
          <w:bCs w:val="0"/>
          <w:i w:val="0"/>
          <w:iCs w:val="0"/>
          <w:caps w:val="0"/>
          <w:color w:val="333333"/>
          <w:spacing w:val="0"/>
          <w:sz w:val="30"/>
          <w:szCs w:val="30"/>
          <w:shd w:val="clear" w:fill="FFFFFF"/>
          <w:lang w:val="en-US" w:eastAsia="zh-CN"/>
        </w:rPr>
      </w:pPr>
      <w:r>
        <w:rPr>
          <w:rFonts w:hint="eastAsia" w:ascii="仿宋_GB2312" w:hAnsi="仿宋_GB2312" w:eastAsia="仿宋_GB2312" w:cs="仿宋_GB2312"/>
          <w:b w:val="0"/>
          <w:bCs w:val="0"/>
          <w:i w:val="0"/>
          <w:iCs w:val="0"/>
          <w:caps w:val="0"/>
          <w:color w:val="333333"/>
          <w:spacing w:val="0"/>
          <w:sz w:val="30"/>
          <w:szCs w:val="30"/>
          <w:shd w:val="clear" w:fill="FFFFFF"/>
          <w:lang w:val="en-US" w:eastAsia="zh-CN"/>
        </w:rPr>
        <w:t>该项目根据服务项目进度已申请支付涉农专项资金19.11万元，目前已支付5万元，已申请未支付14.11万元，支付率26.16%。</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b w:val="0"/>
          <w:bCs w:val="0"/>
          <w:i w:val="0"/>
          <w:iCs w:val="0"/>
          <w:caps w:val="0"/>
          <w:color w:val="333333"/>
          <w:spacing w:val="0"/>
          <w:sz w:val="32"/>
          <w:szCs w:val="32"/>
          <w:shd w:val="clear" w:fill="FFFFFF"/>
          <w:lang w:val="en-US" w:eastAsia="zh-CN"/>
        </w:rPr>
      </w:pPr>
      <w:r>
        <w:rPr>
          <w:rFonts w:hint="eastAsia" w:ascii="仿宋_GB2312" w:hAnsi="仿宋_GB2312" w:eastAsia="仿宋_GB2312" w:cs="仿宋_GB2312"/>
          <w:b w:val="0"/>
          <w:bCs w:val="0"/>
          <w:i w:val="0"/>
          <w:iCs w:val="0"/>
          <w:caps w:val="0"/>
          <w:color w:val="333333"/>
          <w:spacing w:val="0"/>
          <w:sz w:val="32"/>
          <w:szCs w:val="32"/>
          <w:shd w:val="clear" w:fill="FFFFFF"/>
          <w:lang w:val="en-US" w:eastAsia="zh-CN"/>
        </w:rPr>
        <w:t>（2）资金管理、项目管理情况</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仿宋_GB2312" w:hAnsi="仿宋_GB2312" w:eastAsia="仿宋_GB2312" w:cs="仿宋_GB2312"/>
          <w:b w:val="0"/>
          <w:bCs w:val="0"/>
          <w:i w:val="0"/>
          <w:iCs w:val="0"/>
          <w:caps w:val="0"/>
          <w:color w:val="333333"/>
          <w:spacing w:val="0"/>
          <w:sz w:val="30"/>
          <w:szCs w:val="30"/>
          <w:shd w:val="clear" w:fill="FFFFFF"/>
          <w:lang w:val="en-US" w:eastAsia="zh-CN"/>
        </w:rPr>
      </w:pPr>
      <w:r>
        <w:rPr>
          <w:rFonts w:hint="eastAsia" w:ascii="仿宋_GB2312" w:hAnsi="仿宋_GB2312" w:eastAsia="仿宋_GB2312" w:cs="仿宋_GB2312"/>
          <w:b w:val="0"/>
          <w:bCs w:val="0"/>
          <w:i w:val="0"/>
          <w:iCs w:val="0"/>
          <w:caps w:val="0"/>
          <w:color w:val="333333"/>
          <w:spacing w:val="0"/>
          <w:sz w:val="30"/>
          <w:szCs w:val="30"/>
          <w:shd w:val="clear" w:fill="FFFFFF"/>
          <w:lang w:val="en-US" w:eastAsia="zh-CN"/>
        </w:rPr>
        <w:t>2022年12月26日，韶关市财政局以《关于提前下达2023 年省级涉农统筹整合转移支付资金的通知》（韶曲财农[2022]163号文）下达省级涉农资金27.3万元用于韶关市曲江区2023年度第三方水土保持技术支持服务。</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default" w:ascii="仿宋_GB2312" w:hAnsi="仿宋_GB2312" w:eastAsia="仿宋_GB2312" w:cs="仿宋_GB2312"/>
          <w:b w:val="0"/>
          <w:bCs w:val="0"/>
          <w:i w:val="0"/>
          <w:iCs w:val="0"/>
          <w:caps w:val="0"/>
          <w:color w:val="333333"/>
          <w:spacing w:val="0"/>
          <w:sz w:val="30"/>
          <w:szCs w:val="30"/>
          <w:shd w:val="clear" w:fill="FFFFFF"/>
          <w:lang w:val="en-US" w:eastAsia="zh-CN"/>
        </w:rPr>
      </w:pPr>
      <w:r>
        <w:rPr>
          <w:rFonts w:hint="default" w:ascii="仿宋_GB2312" w:hAnsi="仿宋_GB2312" w:eastAsia="仿宋_GB2312" w:cs="仿宋_GB2312"/>
          <w:b w:val="0"/>
          <w:bCs w:val="0"/>
          <w:i w:val="0"/>
          <w:iCs w:val="0"/>
          <w:caps w:val="0"/>
          <w:color w:val="333333"/>
          <w:spacing w:val="0"/>
          <w:sz w:val="30"/>
          <w:szCs w:val="30"/>
          <w:shd w:val="clear" w:fill="FFFFFF"/>
          <w:lang w:val="en-US" w:eastAsia="zh-CN"/>
        </w:rPr>
        <w:t>我单位对项目资金进行专款管理，做到专款专用，确保协调好项目的用款计划、用款进度、用款额度等，使项目的正常运作展开。</w:t>
      </w:r>
      <w:r>
        <w:rPr>
          <w:rFonts w:hint="eastAsia" w:ascii="仿宋_GB2312" w:hAnsi="仿宋_GB2312" w:eastAsia="仿宋_GB2312" w:cs="仿宋_GB2312"/>
          <w:b w:val="0"/>
          <w:bCs w:val="0"/>
          <w:i w:val="0"/>
          <w:iCs w:val="0"/>
          <w:caps w:val="0"/>
          <w:color w:val="333333"/>
          <w:spacing w:val="0"/>
          <w:sz w:val="30"/>
          <w:szCs w:val="30"/>
          <w:shd w:val="clear" w:fill="FFFFFF"/>
          <w:lang w:val="en-US" w:eastAsia="zh-CN"/>
        </w:rPr>
        <w:t>科学设置项目绩效</w:t>
      </w:r>
      <w:r>
        <w:rPr>
          <w:rFonts w:hint="default" w:ascii="仿宋_GB2312" w:hAnsi="仿宋_GB2312" w:eastAsia="仿宋_GB2312" w:cs="仿宋_GB2312"/>
          <w:b w:val="0"/>
          <w:bCs w:val="0"/>
          <w:i w:val="0"/>
          <w:iCs w:val="0"/>
          <w:caps w:val="0"/>
          <w:color w:val="333333"/>
          <w:spacing w:val="0"/>
          <w:sz w:val="30"/>
          <w:szCs w:val="30"/>
          <w:shd w:val="clear" w:fill="FFFFFF"/>
          <w:lang w:val="en-US" w:eastAsia="zh-CN"/>
        </w:rPr>
        <w:t>目标，</w:t>
      </w:r>
      <w:r>
        <w:rPr>
          <w:rFonts w:hint="eastAsia" w:ascii="仿宋_GB2312" w:hAnsi="仿宋_GB2312" w:eastAsia="仿宋_GB2312" w:cs="仿宋_GB2312"/>
          <w:b w:val="0"/>
          <w:bCs w:val="0"/>
          <w:i w:val="0"/>
          <w:iCs w:val="0"/>
          <w:caps w:val="0"/>
          <w:color w:val="333333"/>
          <w:spacing w:val="0"/>
          <w:sz w:val="30"/>
          <w:szCs w:val="30"/>
          <w:shd w:val="clear" w:fill="FFFFFF"/>
          <w:lang w:val="en-US" w:eastAsia="zh-CN"/>
        </w:rPr>
        <w:t>确保</w:t>
      </w:r>
      <w:r>
        <w:rPr>
          <w:rFonts w:hint="default" w:ascii="仿宋_GB2312" w:hAnsi="仿宋_GB2312" w:eastAsia="仿宋_GB2312" w:cs="仿宋_GB2312"/>
          <w:b w:val="0"/>
          <w:bCs w:val="0"/>
          <w:i w:val="0"/>
          <w:iCs w:val="0"/>
          <w:caps w:val="0"/>
          <w:color w:val="333333"/>
          <w:spacing w:val="0"/>
          <w:sz w:val="30"/>
          <w:szCs w:val="30"/>
          <w:shd w:val="clear" w:fill="FFFFFF"/>
          <w:lang w:val="en-US" w:eastAsia="zh-CN"/>
        </w:rPr>
        <w:t>各项符合相关规定。项目实施过程中，遵循先考察、调研，再根据我单位工作实际情况制定相应的措施。实现了项目管理与过程管理的有机结合。</w:t>
      </w:r>
      <w:r>
        <w:rPr>
          <w:rFonts w:hint="eastAsia" w:ascii="仿宋_GB2312" w:hAnsi="仿宋_GB2312" w:eastAsia="仿宋_GB2312" w:cs="仿宋_GB2312"/>
          <w:b w:val="0"/>
          <w:bCs w:val="0"/>
          <w:i w:val="0"/>
          <w:iCs w:val="0"/>
          <w:caps w:val="0"/>
          <w:color w:val="333333"/>
          <w:spacing w:val="0"/>
          <w:sz w:val="30"/>
          <w:szCs w:val="30"/>
          <w:shd w:val="clear" w:fill="FFFFFF"/>
          <w:lang w:val="en-US" w:eastAsia="zh-CN"/>
        </w:rPr>
        <w:t>同时</w:t>
      </w:r>
      <w:r>
        <w:rPr>
          <w:rFonts w:hint="default" w:ascii="仿宋_GB2312" w:hAnsi="仿宋_GB2312" w:eastAsia="仿宋_GB2312" w:cs="仿宋_GB2312"/>
          <w:b w:val="0"/>
          <w:bCs w:val="0"/>
          <w:i w:val="0"/>
          <w:iCs w:val="0"/>
          <w:caps w:val="0"/>
          <w:color w:val="333333"/>
          <w:spacing w:val="0"/>
          <w:sz w:val="30"/>
          <w:szCs w:val="30"/>
          <w:shd w:val="clear" w:fill="FFFFFF"/>
          <w:lang w:val="en-US" w:eastAsia="zh-CN"/>
        </w:rPr>
        <w:t>由主管局为监管部门，不定期对项目执行单位进度情况进行督导检查，对检查过程中发现的问题及时督促整改，确保项目按时保质完成。</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b w:val="0"/>
          <w:bCs w:val="0"/>
          <w:i w:val="0"/>
          <w:iCs w:val="0"/>
          <w:caps w:val="0"/>
          <w:color w:val="333333"/>
          <w:spacing w:val="0"/>
          <w:sz w:val="32"/>
          <w:szCs w:val="32"/>
          <w:shd w:val="clear" w:fill="FFFFFF"/>
          <w:lang w:val="en-US" w:eastAsia="zh-CN"/>
        </w:rPr>
      </w:pPr>
      <w:r>
        <w:rPr>
          <w:rFonts w:hint="eastAsia" w:ascii="仿宋_GB2312" w:hAnsi="仿宋_GB2312" w:eastAsia="仿宋_GB2312" w:cs="仿宋_GB2312"/>
          <w:b w:val="0"/>
          <w:bCs w:val="0"/>
          <w:i w:val="0"/>
          <w:iCs w:val="0"/>
          <w:caps w:val="0"/>
          <w:color w:val="333333"/>
          <w:spacing w:val="0"/>
          <w:sz w:val="32"/>
          <w:szCs w:val="32"/>
          <w:shd w:val="clear" w:fill="FFFFFF"/>
          <w:lang w:val="en-US" w:eastAsia="zh-CN"/>
        </w:rPr>
        <w:t>（3）专项资金完成绩效目标情况</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仿宋_GB2312" w:hAnsi="仿宋_GB2312" w:eastAsia="仿宋_GB2312" w:cs="仿宋_GB2312"/>
          <w:b w:val="0"/>
          <w:bCs w:val="0"/>
          <w:i w:val="0"/>
          <w:iCs w:val="0"/>
          <w:caps w:val="0"/>
          <w:color w:val="333333"/>
          <w:spacing w:val="0"/>
          <w:sz w:val="30"/>
          <w:szCs w:val="30"/>
          <w:shd w:val="clear" w:fill="FFFFFF"/>
          <w:lang w:val="en-US" w:eastAsia="zh-CN"/>
        </w:rPr>
      </w:pPr>
      <w:r>
        <w:rPr>
          <w:rFonts w:hint="eastAsia" w:ascii="仿宋_GB2312" w:hAnsi="仿宋_GB2312" w:eastAsia="仿宋_GB2312" w:cs="仿宋_GB2312"/>
          <w:b w:val="0"/>
          <w:bCs w:val="0"/>
          <w:i w:val="0"/>
          <w:iCs w:val="0"/>
          <w:caps w:val="0"/>
          <w:color w:val="333333"/>
          <w:spacing w:val="0"/>
          <w:sz w:val="30"/>
          <w:szCs w:val="30"/>
          <w:shd w:val="clear" w:fill="FFFFFF"/>
          <w:lang w:val="en-US" w:eastAsia="zh-CN"/>
        </w:rPr>
        <w:t>2023年3月30日签订合同，已完成部分水土保持监督核查工作。2024年3月已完成任务，形象进度100%，按计划</w:t>
      </w:r>
      <w:r>
        <w:rPr>
          <w:rFonts w:hint="eastAsia" w:ascii="仿宋_GB2312" w:hAnsi="仿宋_GB2312" w:eastAsia="仿宋_GB2312" w:cs="仿宋_GB2312"/>
          <w:b w:val="0"/>
          <w:bCs w:val="0"/>
          <w:i w:val="0"/>
          <w:iCs w:val="0"/>
          <w:caps w:val="0"/>
          <w:color w:val="333333"/>
          <w:spacing w:val="0"/>
          <w:sz w:val="32"/>
          <w:szCs w:val="32"/>
          <w:shd w:val="clear" w:fill="FFFFFF"/>
          <w:lang w:val="en-US" w:eastAsia="zh-CN"/>
        </w:rPr>
        <w:t>很好地完成了绩效目标。</w:t>
      </w:r>
      <w:bookmarkStart w:id="0" w:name="_GoBack"/>
      <w:bookmarkEnd w:id="0"/>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b w:val="0"/>
          <w:bCs w:val="0"/>
          <w:i w:val="0"/>
          <w:iCs w:val="0"/>
          <w:caps w:val="0"/>
          <w:color w:val="333333"/>
          <w:spacing w:val="0"/>
          <w:sz w:val="32"/>
          <w:szCs w:val="32"/>
          <w:shd w:val="clear" w:fill="FFFFFF"/>
          <w:lang w:val="en-US" w:eastAsia="zh-CN"/>
        </w:rPr>
      </w:pPr>
      <w:r>
        <w:rPr>
          <w:rFonts w:hint="eastAsia" w:ascii="仿宋_GB2312" w:hAnsi="仿宋_GB2312" w:eastAsia="仿宋_GB2312" w:cs="仿宋_GB2312"/>
          <w:b w:val="0"/>
          <w:bCs w:val="0"/>
          <w:i w:val="0"/>
          <w:iCs w:val="0"/>
          <w:caps w:val="0"/>
          <w:color w:val="333333"/>
          <w:spacing w:val="0"/>
          <w:sz w:val="32"/>
          <w:szCs w:val="32"/>
          <w:shd w:val="clear" w:fill="FFFFFF"/>
          <w:lang w:val="en-US" w:eastAsia="zh-CN"/>
        </w:rPr>
        <w:t>（4）专项资金分用途使用绩效</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仿宋_GB2312" w:hAnsi="仿宋_GB2312" w:eastAsia="仿宋_GB2312" w:cs="仿宋_GB2312"/>
          <w:b w:val="0"/>
          <w:bCs w:val="0"/>
          <w:i w:val="0"/>
          <w:iCs w:val="0"/>
          <w:caps w:val="0"/>
          <w:color w:val="333333"/>
          <w:spacing w:val="0"/>
          <w:sz w:val="30"/>
          <w:szCs w:val="30"/>
          <w:shd w:val="clear" w:fill="FFFFFF"/>
          <w:lang w:val="en-US" w:eastAsia="zh-CN"/>
        </w:rPr>
      </w:pPr>
      <w:r>
        <w:rPr>
          <w:rFonts w:hint="eastAsia" w:ascii="仿宋_GB2312" w:hAnsi="仿宋_GB2312" w:eastAsia="仿宋_GB2312" w:cs="仿宋_GB2312"/>
          <w:b w:val="0"/>
          <w:bCs w:val="0"/>
          <w:i w:val="0"/>
          <w:iCs w:val="0"/>
          <w:caps w:val="0"/>
          <w:color w:val="333333"/>
          <w:spacing w:val="0"/>
          <w:sz w:val="30"/>
          <w:szCs w:val="30"/>
          <w:shd w:val="clear" w:fill="FFFFFF"/>
          <w:lang w:val="en-US" w:eastAsia="zh-CN"/>
        </w:rPr>
        <w:t>在项目开展过程中，严格规范资金的使用，做到专款专用，规范支出；在整个项目实施的过程中，严格按预算控制成本，杜绝超预算支出。</w:t>
      </w:r>
    </w:p>
    <w:p>
      <w:pPr>
        <w:keepNext w:val="0"/>
        <w:keepLines w:val="0"/>
        <w:pageBreakBefore w:val="0"/>
        <w:widowControl w:val="0"/>
        <w:kinsoku/>
        <w:wordWrap/>
        <w:overflowPunct/>
        <w:topLinePunct w:val="0"/>
        <w:autoSpaceDE/>
        <w:autoSpaceDN/>
        <w:bidi w:val="0"/>
        <w:adjustRightInd/>
        <w:snapToGrid/>
        <w:spacing w:line="360" w:lineRule="auto"/>
        <w:ind w:firstLine="355" w:firstLineChars="100"/>
        <w:textAlignment w:val="auto"/>
        <w:rPr>
          <w:rFonts w:hint="eastAsia" w:ascii="仿宋" w:hAnsi="仿宋" w:eastAsia="仿宋" w:cs="仿宋"/>
          <w:b/>
          <w:bCs/>
          <w:spacing w:val="27"/>
          <w:sz w:val="30"/>
          <w:szCs w:val="30"/>
        </w:rPr>
      </w:pPr>
      <w:r>
        <w:rPr>
          <w:rFonts w:hint="eastAsia" w:ascii="仿宋" w:hAnsi="仿宋" w:eastAsia="仿宋" w:cs="仿宋"/>
          <w:b/>
          <w:bCs/>
          <w:spacing w:val="27"/>
          <w:sz w:val="30"/>
          <w:szCs w:val="30"/>
          <w:lang w:eastAsia="zh-CN"/>
        </w:rPr>
        <w:t>（三）</w:t>
      </w:r>
      <w:r>
        <w:rPr>
          <w:rFonts w:hint="eastAsia" w:ascii="仿宋" w:hAnsi="仿宋" w:eastAsia="仿宋" w:cs="仿宋"/>
          <w:b/>
          <w:bCs/>
          <w:spacing w:val="27"/>
          <w:sz w:val="30"/>
          <w:szCs w:val="30"/>
        </w:rPr>
        <w:t>专项资金使用绩效存在的问题</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仿宋_GB2312" w:hAnsi="仿宋_GB2312" w:eastAsia="仿宋_GB2312" w:cs="仿宋_GB2312"/>
          <w:b w:val="0"/>
          <w:bCs w:val="0"/>
          <w:i w:val="0"/>
          <w:iCs w:val="0"/>
          <w:caps w:val="0"/>
          <w:color w:val="333333"/>
          <w:spacing w:val="0"/>
          <w:sz w:val="30"/>
          <w:szCs w:val="30"/>
          <w:shd w:val="clear" w:fill="FFFFFF"/>
          <w:lang w:val="en-US" w:eastAsia="zh-CN"/>
        </w:rPr>
      </w:pPr>
      <w:r>
        <w:rPr>
          <w:rFonts w:hint="eastAsia" w:ascii="仿宋_GB2312" w:hAnsi="仿宋_GB2312" w:eastAsia="仿宋_GB2312" w:cs="仿宋_GB2312"/>
          <w:b w:val="0"/>
          <w:bCs w:val="0"/>
          <w:i w:val="0"/>
          <w:iCs w:val="0"/>
          <w:caps w:val="0"/>
          <w:color w:val="333333"/>
          <w:spacing w:val="0"/>
          <w:sz w:val="30"/>
          <w:szCs w:val="30"/>
          <w:shd w:val="clear" w:fill="FFFFFF"/>
          <w:lang w:val="en-US" w:eastAsia="zh-CN"/>
        </w:rPr>
        <w:t>无</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仿宋_GB2312" w:hAnsi="仿宋_GB2312" w:eastAsia="仿宋_GB2312" w:cs="仿宋_GB2312"/>
          <w:b w:val="0"/>
          <w:bCs w:val="0"/>
          <w:i w:val="0"/>
          <w:iCs w:val="0"/>
          <w:caps w:val="0"/>
          <w:color w:val="333333"/>
          <w:spacing w:val="0"/>
          <w:sz w:val="30"/>
          <w:szCs w:val="30"/>
          <w:shd w:val="clear" w:fill="FFFFFF"/>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583" w:firstLineChars="200"/>
        <w:textAlignment w:val="auto"/>
        <w:rPr>
          <w:rFonts w:hint="eastAsia" w:ascii="宋体" w:hAnsi="宋体" w:eastAsia="宋体" w:cs="宋体"/>
          <w:b/>
          <w:bCs/>
          <w:spacing w:val="-15"/>
          <w:sz w:val="32"/>
          <w:szCs w:val="32"/>
        </w:rPr>
      </w:pPr>
      <w:r>
        <w:rPr>
          <w:rFonts w:hint="eastAsia" w:ascii="宋体" w:hAnsi="宋体" w:eastAsia="宋体" w:cs="宋体"/>
          <w:b/>
          <w:bCs/>
          <w:spacing w:val="-15"/>
          <w:sz w:val="32"/>
          <w:szCs w:val="32"/>
        </w:rPr>
        <w:t>三、改进意见</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default" w:ascii="仿宋_GB2312" w:hAnsi="仿宋_GB2312" w:eastAsia="仿宋_GB2312" w:cs="仿宋_GB2312"/>
          <w:b w:val="0"/>
          <w:bCs w:val="0"/>
          <w:i w:val="0"/>
          <w:iCs w:val="0"/>
          <w:caps w:val="0"/>
          <w:color w:val="333333"/>
          <w:spacing w:val="0"/>
          <w:sz w:val="30"/>
          <w:szCs w:val="30"/>
          <w:shd w:val="clear" w:fill="FFFFFF"/>
          <w:lang w:val="en-US" w:eastAsia="zh-CN"/>
        </w:rPr>
      </w:pPr>
      <w:r>
        <w:rPr>
          <w:rFonts w:hint="eastAsia" w:ascii="仿宋_GB2312" w:hAnsi="仿宋_GB2312" w:eastAsia="仿宋_GB2312" w:cs="仿宋_GB2312"/>
          <w:b w:val="0"/>
          <w:bCs w:val="0"/>
          <w:i w:val="0"/>
          <w:iCs w:val="0"/>
          <w:caps w:val="0"/>
          <w:color w:val="333333"/>
          <w:spacing w:val="0"/>
          <w:sz w:val="30"/>
          <w:szCs w:val="30"/>
          <w:shd w:val="clear" w:fill="FFFFFF"/>
          <w:lang w:val="en-US" w:eastAsia="zh-CN"/>
        </w:rPr>
        <w:t>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JlYjk1YmM2MzU4N2QzNzEyZmIzZGZmM2FjYjcwOTAifQ=="/>
  </w:docVars>
  <w:rsids>
    <w:rsidRoot w:val="14A47411"/>
    <w:rsid w:val="01B24D5C"/>
    <w:rsid w:val="049313EB"/>
    <w:rsid w:val="05780E32"/>
    <w:rsid w:val="0C0572FF"/>
    <w:rsid w:val="0F252FA5"/>
    <w:rsid w:val="0FC37BA1"/>
    <w:rsid w:val="13802C3D"/>
    <w:rsid w:val="14A47411"/>
    <w:rsid w:val="2A654741"/>
    <w:rsid w:val="2CD849D4"/>
    <w:rsid w:val="2EF10F61"/>
    <w:rsid w:val="38BE762D"/>
    <w:rsid w:val="3DBB238D"/>
    <w:rsid w:val="406C16B7"/>
    <w:rsid w:val="425D3C7D"/>
    <w:rsid w:val="48966610"/>
    <w:rsid w:val="52144136"/>
    <w:rsid w:val="59243CAB"/>
    <w:rsid w:val="6D642308"/>
    <w:rsid w:val="6E84240F"/>
    <w:rsid w:val="71E754FA"/>
    <w:rsid w:val="747A4995"/>
    <w:rsid w:val="7A10306F"/>
    <w:rsid w:val="7E9B51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Body Text First Indent"/>
    <w:basedOn w:val="3"/>
    <w:autoRedefine/>
    <w:qFormat/>
    <w:uiPriority w:val="0"/>
    <w:pPr>
      <w:spacing w:line="240" w:lineRule="auto"/>
      <w:ind w:firstLine="420" w:firstLineChars="100"/>
    </w:pPr>
    <w:rPr>
      <w:rFonts w:ascii="Tahoma" w:hAnsi="Tahoma"/>
      <w:b/>
      <w:sz w:val="21"/>
    </w:rPr>
  </w:style>
  <w:style w:type="paragraph" w:styleId="3">
    <w:name w:val="Body Text"/>
    <w:basedOn w:val="1"/>
    <w:autoRedefine/>
    <w:qFormat/>
    <w:uiPriority w:val="0"/>
    <w:pPr>
      <w:spacing w:after="120"/>
    </w:pPr>
  </w:style>
  <w:style w:type="paragraph" w:styleId="4">
    <w:name w:val="Normal Indent"/>
    <w:basedOn w:val="1"/>
    <w:autoRedefine/>
    <w:qFormat/>
    <w:uiPriority w:val="0"/>
    <w:pPr>
      <w:ind w:firstLine="420"/>
    </w:pPr>
    <w:rPr>
      <w:szCs w:val="20"/>
    </w:rPr>
  </w:style>
  <w:style w:type="paragraph" w:styleId="5">
    <w:name w:val="Normal (Web)"/>
    <w:basedOn w:val="1"/>
    <w:autoRedefine/>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663</Words>
  <Characters>691</Characters>
  <Lines>0</Lines>
  <Paragraphs>0</Paragraphs>
  <TotalTime>0</TotalTime>
  <ScaleCrop>false</ScaleCrop>
  <LinksUpToDate>false</LinksUpToDate>
  <CharactersWithSpaces>691</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2022-07-15T00:27:00Z</dcterms:created>
  <dc:creator>LG</dc:creator>
  <cp:lastModifiedBy>不渝_。</cp:lastModifiedBy>
  <dcterms:modified xsi:type="dcterms:W3CDTF">2024-05-06T01:24:58Z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70576A391FFE46A1B87DE5C97B6585EC_13</vt:lpwstr>
  </property>
</Properties>
</file>