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eastAsia="方正小标宋简体" w:cs="仿宋_GB2312" w:hAnsiTheme="minorEastAsia"/>
          <w:bCs/>
          <w:color w:val="333333"/>
          <w:sz w:val="44"/>
          <w:szCs w:val="44"/>
          <w:shd w:val="clear" w:color="auto" w:fill="FFFFFF"/>
        </w:rPr>
      </w:pPr>
      <w:r>
        <w:rPr>
          <w:rFonts w:hint="eastAsia" w:ascii="方正小标宋简体" w:eastAsia="方正小标宋简体" w:cs="仿宋_GB2312" w:hAnsiTheme="minorEastAsia"/>
          <w:bCs/>
          <w:color w:val="333333"/>
          <w:sz w:val="44"/>
          <w:szCs w:val="44"/>
          <w:shd w:val="clear" w:color="auto" w:fill="FFFFFF"/>
        </w:rPr>
        <w:t>2023年韶关市曲江区水旱灾害防御</w:t>
      </w:r>
    </w:p>
    <w:p>
      <w:pPr>
        <w:spacing w:line="600" w:lineRule="exact"/>
        <w:jc w:val="center"/>
        <w:rPr>
          <w:rFonts w:ascii="方正小标宋简体" w:eastAsia="方正小标宋简体" w:cs="仿宋" w:hAnsiTheme="minorEastAsia"/>
          <w:color w:val="333333"/>
          <w:sz w:val="44"/>
          <w:szCs w:val="44"/>
          <w:shd w:val="clear" w:color="auto" w:fill="FFFFFF"/>
        </w:rPr>
      </w:pPr>
      <w:r>
        <w:rPr>
          <w:rFonts w:hint="eastAsia" w:ascii="方正小标宋简体" w:eastAsia="方正小标宋简体" w:cs="仿宋_GB2312" w:hAnsiTheme="minorEastAsia"/>
          <w:bCs/>
          <w:color w:val="333333"/>
          <w:sz w:val="44"/>
          <w:szCs w:val="44"/>
          <w:shd w:val="clear" w:color="auto" w:fill="FFFFFF"/>
        </w:rPr>
        <w:t>体系标准化绩效自评报告</w:t>
      </w: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rPr>
      </w:pPr>
      <w:r>
        <w:rPr>
          <w:rFonts w:hint="eastAsia" w:ascii="宋体" w:hAnsi="宋体" w:eastAsia="宋体" w:cs="宋体"/>
          <w:b/>
          <w:bCs/>
          <w:spacing w:val="-15"/>
          <w:sz w:val="32"/>
          <w:szCs w:val="32"/>
          <w:lang w:eastAsia="zh-CN"/>
        </w:rPr>
        <w:t>一、</w:t>
      </w:r>
      <w:r>
        <w:rPr>
          <w:rFonts w:hint="eastAsia" w:ascii="宋体" w:hAnsi="宋体" w:eastAsia="宋体" w:cs="宋体"/>
          <w:b/>
          <w:bCs/>
          <w:spacing w:val="-15"/>
          <w:sz w:val="32"/>
          <w:szCs w:val="32"/>
        </w:rPr>
        <w:t>基本情况</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曲江区水旱灾害防御体系标准化建设项目涉及曲江区区级和10个镇（街），主要建设内容为完成曲江区本级水旱灾害防御体系标准化建设，包括指挥调度、预报预警、预演预案、抢险保障等四个体系；完成松山街道、马坝镇、大塘镇、枫湾镇、小坑镇、沙溪镇、乌石镇、樟市镇、白土镇、罗坑镇等10个镇街的镇、村水旱灾害防御体系标准化建设，包括指挥调度、预报预警、预演预案、抢险保障等四个体系；开展曲江区水旱灾害防御体系标准化建设总结。2022年12月已开工，项目已完工，计划2024年5月底</w:t>
      </w:r>
      <w:bookmarkStart w:id="0" w:name="_GoBack"/>
      <w:bookmarkEnd w:id="0"/>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完成验收。</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2022年12月26日，韶关市财政局以《关于提前下达2023 年省级涉农统筹整合转移支付资金的通知》（韶曲财农[2022]163号文）下达省级涉农资金110万元。后经调增24.49万元，项目获得总资金为134.49万元。资金全部用于曲江区水旱灾害防御体系标准化建设项目。</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eastAsia="zh-CN"/>
        </w:rPr>
      </w:pPr>
      <w:r>
        <w:rPr>
          <w:rFonts w:hint="eastAsia" w:ascii="宋体" w:hAnsi="宋体" w:eastAsia="宋体" w:cs="宋体"/>
          <w:b/>
          <w:bCs/>
          <w:spacing w:val="-15"/>
          <w:sz w:val="32"/>
          <w:szCs w:val="32"/>
          <w:lang w:eastAsia="zh-CN"/>
        </w:rPr>
        <w:t>二、自评情况</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rPr>
        <w:t>（一）自评分数</w:t>
      </w:r>
    </w:p>
    <w:p>
      <w:pPr>
        <w:spacing w:line="360" w:lineRule="auto"/>
        <w:ind w:firstLine="480"/>
        <w:rPr>
          <w:rFonts w:hint="eastAsia" w:ascii="仿宋_GB2312" w:hAnsi="仿宋_GB2312" w:eastAsia="仿宋_GB2312" w:cs="仿宋_GB2312"/>
          <w:b w:val="0"/>
          <w:bCs w:val="0"/>
          <w:i w:val="0"/>
          <w:iCs w:val="0"/>
          <w:caps w:val="0"/>
          <w:color w:val="333333"/>
          <w:spacing w:val="0"/>
          <w:sz w:val="30"/>
          <w:szCs w:val="30"/>
          <w:shd w:val="clear" w:fill="FFFFFF"/>
          <w:lang w:val="en-US" w:eastAsia="zh-CN"/>
        </w:rPr>
      </w:pPr>
      <w:r>
        <w:rPr>
          <w:rFonts w:hint="eastAsia" w:ascii="仿宋_GB2312" w:hAnsi="仿宋_GB2312" w:eastAsia="仿宋_GB2312" w:cs="仿宋_GB2312"/>
          <w:b w:val="0"/>
          <w:bCs w:val="0"/>
          <w:i w:val="0"/>
          <w:iCs w:val="0"/>
          <w:caps w:val="0"/>
          <w:color w:val="333333"/>
          <w:spacing w:val="0"/>
          <w:sz w:val="30"/>
          <w:szCs w:val="30"/>
          <w:shd w:val="clear" w:fill="FFFFFF"/>
          <w:lang w:val="en-US" w:eastAsia="zh-CN"/>
        </w:rPr>
        <w:t>曲江区水旱灾害防御体系标准化建设项目自评分数为98分。根据资金下达文件、项目实施方案资料，以及资金支付率，工程合同、付款票据，整个施工过程规范、安全及建设后产生的效益和上级对项目的评估达标等级等相关文件。</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rPr>
      </w:pPr>
      <w:r>
        <w:rPr>
          <w:rFonts w:hint="eastAsia" w:ascii="仿宋" w:hAnsi="仿宋" w:eastAsia="仿宋" w:cs="仿宋"/>
          <w:b/>
          <w:bCs/>
          <w:spacing w:val="27"/>
          <w:sz w:val="30"/>
          <w:szCs w:val="30"/>
          <w:lang w:eastAsia="zh-CN"/>
        </w:rPr>
        <w:t>（二）</w:t>
      </w:r>
      <w:r>
        <w:rPr>
          <w:rFonts w:hint="eastAsia" w:ascii="仿宋" w:hAnsi="仿宋" w:eastAsia="仿宋" w:cs="仿宋"/>
          <w:b/>
          <w:bCs/>
          <w:spacing w:val="27"/>
          <w:sz w:val="30"/>
          <w:szCs w:val="30"/>
        </w:rPr>
        <w:t>专项资金使用绩效</w:t>
      </w:r>
    </w:p>
    <w:p>
      <w:pPr>
        <w:numPr>
          <w:ilvl w:val="0"/>
          <w:numId w:val="0"/>
        </w:numPr>
        <w:snapToGrid w:val="0"/>
        <w:spacing w:line="600" w:lineRule="exact"/>
        <w:ind w:firstLine="600" w:firstLineChars="200"/>
        <w:rPr>
          <w:rFonts w:hint="eastAsia" w:ascii="仿宋_GB2312" w:hAnsi="楷体" w:eastAsia="仿宋_GB2312" w:cs="楷体"/>
          <w:b/>
          <w:bCs/>
          <w:sz w:val="30"/>
          <w:szCs w:val="30"/>
        </w:rPr>
      </w:pPr>
      <w:r>
        <w:rPr>
          <w:rFonts w:hint="eastAsia" w:ascii="仿宋_GB2312" w:eastAsia="仿宋_GB2312" w:cs="Times New Roman"/>
          <w:sz w:val="30"/>
          <w:szCs w:val="30"/>
          <w:lang w:val="en-US" w:eastAsia="zh-CN"/>
        </w:rPr>
        <w:t>（1）资金支出情况</w:t>
      </w:r>
    </w:p>
    <w:p>
      <w:pPr>
        <w:spacing w:line="600" w:lineRule="exact"/>
        <w:ind w:firstLine="600" w:firstLineChars="200"/>
        <w:rPr>
          <w:rFonts w:hint="eastAsia" w:ascii="仿宋_GB2312" w:eastAsia="仿宋_GB2312" w:cs="仿宋_GB2312" w:hAnsiTheme="minorEastAsia"/>
          <w:color w:val="333333"/>
          <w:sz w:val="30"/>
          <w:szCs w:val="30"/>
          <w:shd w:val="clear" w:color="auto" w:fill="FFFFFF"/>
          <w:lang w:eastAsia="zh-CN"/>
        </w:rPr>
      </w:pPr>
      <w:r>
        <w:rPr>
          <w:rFonts w:hint="eastAsia" w:ascii="仿宋_GB2312" w:eastAsia="仿宋_GB2312" w:cs="仿宋_GB2312" w:hAnsiTheme="minorEastAsia"/>
          <w:color w:val="333333"/>
          <w:sz w:val="30"/>
          <w:szCs w:val="30"/>
          <w:shd w:val="clear" w:color="auto" w:fill="FFFFFF"/>
        </w:rPr>
        <w:t>目前资金已申请预付款110万元，已支付5万元，</w:t>
      </w:r>
      <w:r>
        <w:rPr>
          <w:rFonts w:hint="eastAsia" w:ascii="仿宋_GB2312" w:eastAsia="仿宋_GB2312" w:cs="仿宋_GB2312" w:hAnsiTheme="minorEastAsia"/>
          <w:color w:val="333333"/>
          <w:sz w:val="30"/>
          <w:szCs w:val="30"/>
          <w:shd w:val="clear" w:color="auto" w:fill="FFFFFF"/>
          <w:lang w:eastAsia="zh-CN"/>
        </w:rPr>
        <w:t>已申请未支付</w:t>
      </w:r>
      <w:r>
        <w:rPr>
          <w:rFonts w:hint="eastAsia" w:ascii="仿宋_GB2312" w:eastAsia="仿宋_GB2312" w:cs="仿宋_GB2312" w:hAnsiTheme="minorEastAsia"/>
          <w:color w:val="333333"/>
          <w:sz w:val="30"/>
          <w:szCs w:val="30"/>
          <w:shd w:val="clear" w:color="auto" w:fill="FFFFFF"/>
        </w:rPr>
        <w:t>105万元</w:t>
      </w:r>
      <w:r>
        <w:rPr>
          <w:rFonts w:hint="eastAsia" w:ascii="仿宋_GB2312" w:eastAsia="仿宋_GB2312" w:cs="仿宋_GB2312" w:hAnsiTheme="minorEastAsia"/>
          <w:color w:val="333333"/>
          <w:sz w:val="30"/>
          <w:szCs w:val="30"/>
          <w:shd w:val="clear" w:color="auto" w:fill="FFFFFF"/>
          <w:lang w:eastAsia="zh-CN"/>
        </w:rPr>
        <w:t>，</w:t>
      </w:r>
      <w:r>
        <w:rPr>
          <w:rFonts w:hint="eastAsia" w:ascii="仿宋_GB2312" w:eastAsia="仿宋_GB2312" w:cs="仿宋_GB2312" w:hAnsiTheme="minorEastAsia"/>
          <w:sz w:val="30"/>
          <w:szCs w:val="30"/>
        </w:rPr>
        <w:t>支付率</w:t>
      </w:r>
      <w:r>
        <w:rPr>
          <w:rFonts w:hint="eastAsia" w:ascii="仿宋_GB2312" w:eastAsia="仿宋_GB2312" w:cs="仿宋_GB2312" w:hAnsiTheme="minorEastAsia"/>
          <w:sz w:val="30"/>
          <w:szCs w:val="30"/>
          <w:lang w:val="en-US" w:eastAsia="zh-CN"/>
        </w:rPr>
        <w:t>3.71</w:t>
      </w:r>
      <w:r>
        <w:rPr>
          <w:rFonts w:hint="eastAsia" w:ascii="仿宋_GB2312" w:eastAsia="仿宋_GB2312" w:cs="仿宋_GB2312" w:hAnsiTheme="minorEastAsia"/>
          <w:sz w:val="30"/>
          <w:szCs w:val="30"/>
        </w:rPr>
        <w:t>%</w:t>
      </w:r>
      <w:r>
        <w:rPr>
          <w:rFonts w:hint="eastAsia" w:ascii="仿宋_GB2312" w:eastAsia="仿宋_GB2312" w:cs="仿宋_GB2312" w:hAnsiTheme="minorEastAsia"/>
          <w:sz w:val="30"/>
          <w:szCs w:val="30"/>
          <w:lang w:eastAsia="zh-CN"/>
        </w:rPr>
        <w:t>。</w:t>
      </w:r>
    </w:p>
    <w:p>
      <w:pPr>
        <w:numPr>
          <w:ilvl w:val="0"/>
          <w:numId w:val="1"/>
        </w:numPr>
        <w:snapToGrid w:val="0"/>
        <w:spacing w:line="600" w:lineRule="exact"/>
        <w:ind w:firstLine="600" w:firstLineChars="200"/>
        <w:rPr>
          <w:rFonts w:hint="eastAsia" w:ascii="仿宋_GB2312" w:hAnsi="宋体" w:eastAsia="仿宋_GB2312" w:cs="仿宋_GB2312"/>
          <w:color w:val="333333"/>
          <w:sz w:val="30"/>
          <w:szCs w:val="30"/>
          <w:shd w:val="clear" w:color="auto" w:fill="FFFFFF"/>
          <w:lang w:eastAsia="zh-CN"/>
        </w:rPr>
      </w:pPr>
      <w:r>
        <w:rPr>
          <w:rFonts w:hint="eastAsia" w:ascii="仿宋_GB2312" w:hAnsi="仿宋_GB2312" w:eastAsia="仿宋_GB2312" w:cs="仿宋_GB2312"/>
          <w:color w:val="333333"/>
          <w:sz w:val="30"/>
          <w:szCs w:val="30"/>
          <w:shd w:val="clear" w:color="auto" w:fill="FFFFFF"/>
          <w:lang w:eastAsia="zh-CN"/>
        </w:rPr>
        <w:t>资金管理情况、</w:t>
      </w:r>
      <w:r>
        <w:rPr>
          <w:rFonts w:hint="eastAsia" w:ascii="仿宋_GB2312" w:hAnsi="宋体" w:eastAsia="仿宋_GB2312" w:cs="仿宋_GB2312"/>
          <w:color w:val="333333"/>
          <w:sz w:val="30"/>
          <w:szCs w:val="30"/>
          <w:shd w:val="clear" w:color="auto" w:fill="FFFFFF"/>
          <w:lang w:eastAsia="zh-CN"/>
        </w:rPr>
        <w:t>项目管理情况</w:t>
      </w:r>
    </w:p>
    <w:p>
      <w:pPr>
        <w:spacing w:line="600" w:lineRule="exact"/>
        <w:ind w:firstLine="600" w:firstLineChars="200"/>
        <w:rPr>
          <w:rFonts w:hint="eastAsia" w:ascii="仿宋_GB2312" w:eastAsia="仿宋_GB2312" w:cs="仿宋_GB2312" w:hAnsiTheme="minorEastAsia"/>
          <w:color w:val="333333"/>
          <w:sz w:val="30"/>
          <w:szCs w:val="30"/>
          <w:shd w:val="clear" w:color="auto" w:fill="FFFFFF"/>
          <w:lang w:eastAsia="zh-CN"/>
        </w:rPr>
      </w:pPr>
      <w:r>
        <w:rPr>
          <w:rFonts w:hint="eastAsia" w:ascii="仿宋_GB2312" w:eastAsia="仿宋_GB2312" w:cs="仿宋_GB2312" w:hAnsiTheme="minorEastAsia"/>
          <w:color w:val="333333"/>
          <w:sz w:val="30"/>
          <w:szCs w:val="30"/>
          <w:shd w:val="clear" w:color="auto" w:fill="FFFFFF"/>
        </w:rPr>
        <w:t>2022年12月26日，韶关市财政局以《关于提前下达2023 年省级涉农统筹整合转移支付资金的通知》（韶曲财农[2022]163号文）下达省级涉农资金110万元。后经调增24.49万元，项目获得总资金为134.49万元。</w:t>
      </w:r>
      <w:r>
        <w:rPr>
          <w:rFonts w:hint="eastAsia" w:ascii="仿宋_GB2312" w:eastAsia="仿宋_GB2312" w:cs="仿宋_GB2312" w:hAnsiTheme="minorEastAsia"/>
          <w:color w:val="333333"/>
          <w:sz w:val="30"/>
          <w:szCs w:val="30"/>
          <w:shd w:val="clear" w:color="auto" w:fill="FFFFFF"/>
          <w:lang w:eastAsia="zh-CN"/>
        </w:rPr>
        <w:t>资金全部</w:t>
      </w:r>
      <w:r>
        <w:rPr>
          <w:rFonts w:hint="eastAsia" w:ascii="仿宋_GB2312" w:eastAsia="仿宋_GB2312" w:cs="仿宋_GB2312" w:hAnsiTheme="minorEastAsia"/>
          <w:color w:val="333333"/>
          <w:sz w:val="30"/>
          <w:szCs w:val="30"/>
          <w:shd w:val="clear" w:color="auto" w:fill="FFFFFF"/>
        </w:rPr>
        <w:t>用于曲江区水旱灾害防御体系标准化建设项目</w:t>
      </w:r>
      <w:r>
        <w:rPr>
          <w:rFonts w:hint="eastAsia" w:ascii="仿宋_GB2312" w:eastAsia="仿宋_GB2312" w:cs="仿宋_GB2312" w:hAnsiTheme="minorEastAsia"/>
          <w:color w:val="333333"/>
          <w:sz w:val="30"/>
          <w:szCs w:val="30"/>
          <w:shd w:val="clear" w:color="auto" w:fill="FFFFFF"/>
          <w:lang w:eastAsia="zh-CN"/>
        </w:rPr>
        <w:t>。</w:t>
      </w:r>
    </w:p>
    <w:p>
      <w:pPr>
        <w:autoSpaceDE w:val="0"/>
        <w:autoSpaceDN w:val="0"/>
        <w:adjustRightInd w:val="0"/>
        <w:spacing w:line="600" w:lineRule="exact"/>
        <w:ind w:firstLine="600" w:firstLineChars="200"/>
        <w:jc w:val="left"/>
        <w:rPr>
          <w:rFonts w:hint="eastAsia" w:ascii="仿宋_GB2312" w:eastAsia="仿宋_GB2312" w:cs="仿宋_GB2312" w:hAnsiTheme="minorEastAsia"/>
          <w:color w:val="333333"/>
          <w:sz w:val="30"/>
          <w:szCs w:val="30"/>
          <w:shd w:val="clear" w:color="auto" w:fill="FFFFFF"/>
        </w:rPr>
      </w:pPr>
      <w:r>
        <w:rPr>
          <w:rFonts w:hint="eastAsia" w:ascii="仿宋_GB2312" w:eastAsia="仿宋_GB2312" w:cs="仿宋_GB2312" w:hAnsiTheme="minorEastAsia"/>
          <w:color w:val="333333"/>
          <w:sz w:val="30"/>
          <w:szCs w:val="30"/>
          <w:shd w:val="clear" w:color="auto" w:fill="FFFFFF"/>
        </w:rPr>
        <w:t>在项目开展过程中，严格规范资金的使用，做到专款专用，规范支出，无超预算支出。项目能按合同约定及时完成项目建设，项目的实施未产生副作用。</w:t>
      </w:r>
    </w:p>
    <w:p>
      <w:pPr>
        <w:numPr>
          <w:ilvl w:val="0"/>
          <w:numId w:val="0"/>
        </w:numPr>
        <w:snapToGrid w:val="0"/>
        <w:spacing w:line="600" w:lineRule="exact"/>
        <w:ind w:leftChars="200"/>
        <w:rPr>
          <w:rFonts w:hint="eastAsia" w:ascii="仿宋_GB2312" w:eastAsia="仿宋_GB2312" w:cs="仿宋_GB2312" w:hAnsiTheme="minorEastAsia"/>
          <w:color w:val="333333"/>
          <w:sz w:val="30"/>
          <w:szCs w:val="30"/>
          <w:shd w:val="clear" w:color="auto" w:fill="FFFFFF"/>
          <w:lang w:eastAsia="zh-CN"/>
        </w:rPr>
      </w:pPr>
      <w:r>
        <w:rPr>
          <w:rFonts w:hint="eastAsia" w:ascii="仿宋_GB2312" w:eastAsia="仿宋_GB2312" w:cs="仿宋_GB2312" w:hAnsiTheme="minorEastAsia"/>
          <w:color w:val="333333"/>
          <w:sz w:val="30"/>
          <w:szCs w:val="30"/>
          <w:shd w:val="clear" w:color="auto" w:fill="FFFFFF"/>
          <w:lang w:eastAsia="zh-CN"/>
        </w:rPr>
        <w:t>（</w:t>
      </w:r>
      <w:r>
        <w:rPr>
          <w:rFonts w:hint="eastAsia" w:ascii="仿宋_GB2312" w:eastAsia="仿宋_GB2312" w:cs="仿宋_GB2312" w:hAnsiTheme="minorEastAsia"/>
          <w:color w:val="333333"/>
          <w:sz w:val="30"/>
          <w:szCs w:val="30"/>
          <w:shd w:val="clear" w:color="auto" w:fill="FFFFFF"/>
          <w:lang w:val="en-US" w:eastAsia="zh-CN"/>
        </w:rPr>
        <w:t>3</w:t>
      </w:r>
      <w:r>
        <w:rPr>
          <w:rFonts w:hint="eastAsia" w:ascii="仿宋_GB2312" w:eastAsia="仿宋_GB2312" w:cs="仿宋_GB2312" w:hAnsiTheme="minorEastAsia"/>
          <w:color w:val="333333"/>
          <w:sz w:val="30"/>
          <w:szCs w:val="30"/>
          <w:shd w:val="clear" w:color="auto" w:fill="FFFFFF"/>
          <w:lang w:eastAsia="zh-CN"/>
        </w:rPr>
        <w:t>）</w:t>
      </w:r>
      <w:r>
        <w:rPr>
          <w:rFonts w:hint="eastAsia" w:ascii="仿宋_GB2312" w:hAnsi="宋体" w:eastAsia="仿宋_GB2312" w:cs="仿宋_GB2312"/>
          <w:color w:val="333333"/>
          <w:sz w:val="30"/>
          <w:szCs w:val="30"/>
          <w:shd w:val="clear" w:color="auto" w:fill="FFFFFF"/>
          <w:lang w:eastAsia="zh-CN"/>
        </w:rPr>
        <w:t>完成绩效绩效目标使用情况</w:t>
      </w:r>
    </w:p>
    <w:p>
      <w:pPr>
        <w:autoSpaceDE w:val="0"/>
        <w:autoSpaceDN w:val="0"/>
        <w:adjustRightInd w:val="0"/>
        <w:spacing w:line="600" w:lineRule="exact"/>
        <w:ind w:firstLine="600" w:firstLineChars="200"/>
        <w:jc w:val="left"/>
        <w:rPr>
          <w:rFonts w:hint="eastAsia" w:ascii="仿宋_GB2312" w:eastAsia="仿宋_GB2312" w:cs="仿宋_GB2312" w:hAnsiTheme="minorEastAsia"/>
          <w:color w:val="333333"/>
          <w:sz w:val="30"/>
          <w:szCs w:val="30"/>
          <w:shd w:val="clear" w:color="auto" w:fill="FFFFFF"/>
        </w:rPr>
      </w:pPr>
      <w:r>
        <w:rPr>
          <w:rFonts w:hint="eastAsia" w:ascii="仿宋_GB2312" w:eastAsia="仿宋_GB2312" w:cs="仿宋_GB2312" w:hAnsiTheme="minorEastAsia"/>
          <w:color w:val="333333"/>
          <w:sz w:val="30"/>
          <w:szCs w:val="30"/>
          <w:shd w:val="clear" w:color="auto" w:fill="FFFFFF"/>
        </w:rPr>
        <w:t>曲江区较好地完成了水旱灾害防御体系标准化建设工作任务,通过韶关市水务局对曲江区水旱灾害防御体系标准化建设评估得分为98.9分,结果为优秀;镇级建设方面,经区水务局以查阅资料等方式进行检查评估,下辖的10个镇街中9个镇街的评估结果均为优秀,1个镇评估结果为良好。</w:t>
      </w:r>
    </w:p>
    <w:p>
      <w:pPr>
        <w:numPr>
          <w:ilvl w:val="0"/>
          <w:numId w:val="0"/>
        </w:numPr>
        <w:snapToGrid w:val="0"/>
        <w:spacing w:line="600" w:lineRule="exact"/>
        <w:ind w:leftChars="200"/>
        <w:rPr>
          <w:rFonts w:hint="eastAsia" w:ascii="仿宋_GB2312" w:hAnsi="宋体" w:eastAsia="仿宋_GB2312" w:cs="仿宋_GB2312"/>
          <w:color w:val="333333"/>
          <w:sz w:val="30"/>
          <w:szCs w:val="30"/>
          <w:shd w:val="clear" w:color="auto" w:fill="FFFFFF"/>
          <w:lang w:eastAsia="zh-CN"/>
        </w:rPr>
      </w:pPr>
      <w:r>
        <w:rPr>
          <w:rFonts w:hint="eastAsia" w:ascii="仿宋_GB2312" w:eastAsia="仿宋_GB2312" w:cs="仿宋_GB2312" w:hAnsiTheme="minorEastAsia"/>
          <w:color w:val="333333"/>
          <w:sz w:val="30"/>
          <w:szCs w:val="30"/>
          <w:shd w:val="clear" w:color="auto" w:fill="FFFFFF"/>
          <w:lang w:eastAsia="zh-CN"/>
        </w:rPr>
        <w:t>（</w:t>
      </w:r>
      <w:r>
        <w:rPr>
          <w:rFonts w:hint="eastAsia" w:ascii="仿宋_GB2312" w:eastAsia="仿宋_GB2312" w:cs="仿宋_GB2312" w:hAnsiTheme="minorEastAsia"/>
          <w:color w:val="333333"/>
          <w:sz w:val="30"/>
          <w:szCs w:val="30"/>
          <w:shd w:val="clear" w:color="auto" w:fill="FFFFFF"/>
          <w:lang w:val="en-US" w:eastAsia="zh-CN"/>
        </w:rPr>
        <w:t>4</w:t>
      </w:r>
      <w:r>
        <w:rPr>
          <w:rFonts w:hint="eastAsia" w:ascii="仿宋_GB2312" w:eastAsia="仿宋_GB2312" w:cs="仿宋_GB2312" w:hAnsiTheme="minorEastAsia"/>
          <w:color w:val="333333"/>
          <w:sz w:val="30"/>
          <w:szCs w:val="30"/>
          <w:shd w:val="clear" w:color="auto" w:fill="FFFFFF"/>
          <w:lang w:eastAsia="zh-CN"/>
        </w:rPr>
        <w:t>）</w:t>
      </w:r>
      <w:r>
        <w:rPr>
          <w:rFonts w:hint="eastAsia" w:ascii="仿宋_GB2312" w:hAnsi="宋体" w:eastAsia="仿宋_GB2312" w:cs="仿宋_GB2312"/>
          <w:color w:val="333333"/>
          <w:sz w:val="30"/>
          <w:szCs w:val="30"/>
          <w:shd w:val="clear" w:color="auto" w:fill="FFFFFF"/>
          <w:lang w:eastAsia="zh-CN"/>
        </w:rPr>
        <w:t>专项资金使用绩效</w:t>
      </w:r>
    </w:p>
    <w:p>
      <w:pPr>
        <w:spacing w:line="600" w:lineRule="exact"/>
        <w:rPr>
          <w:rFonts w:hint="eastAsia" w:ascii="仿宋_GB2312" w:eastAsia="仿宋_GB2312" w:cs="仿宋_GB2312" w:hAnsiTheme="minorEastAsia"/>
          <w:color w:val="333333"/>
          <w:sz w:val="30"/>
          <w:szCs w:val="30"/>
          <w:shd w:val="clear" w:color="auto" w:fill="FFFFFF"/>
          <w:lang w:eastAsia="zh-CN"/>
        </w:rPr>
      </w:pPr>
      <w:r>
        <w:rPr>
          <w:rFonts w:hint="eastAsia" w:ascii="仿宋_GB2312" w:eastAsia="仿宋_GB2312" w:hAnsiTheme="minorEastAsia"/>
          <w:sz w:val="30"/>
          <w:szCs w:val="30"/>
        </w:rPr>
        <w:t xml:space="preserve"> </w:t>
      </w:r>
      <w:r>
        <w:rPr>
          <w:rFonts w:hint="eastAsia" w:ascii="仿宋_GB2312" w:eastAsia="仿宋_GB2312" w:hAnsiTheme="minorEastAsia"/>
          <w:sz w:val="30"/>
          <w:szCs w:val="30"/>
          <w:lang w:val="en-US" w:eastAsia="zh-CN"/>
        </w:rPr>
        <w:t xml:space="preserve">   </w:t>
      </w:r>
      <w:r>
        <w:rPr>
          <w:rFonts w:hint="eastAsia" w:ascii="仿宋_GB2312" w:eastAsia="仿宋_GB2312" w:cs="仿宋_GB2312" w:hAnsiTheme="minorEastAsia"/>
          <w:color w:val="333333"/>
          <w:sz w:val="30"/>
          <w:szCs w:val="30"/>
          <w:shd w:val="clear" w:color="auto" w:fill="FFFFFF"/>
        </w:rPr>
        <w:t>此项目工程预算投入251.06万元，省级涉农资金已安排134.49万元，投入率100%</w:t>
      </w:r>
      <w:r>
        <w:rPr>
          <w:rFonts w:hint="eastAsia" w:ascii="仿宋_GB2312" w:eastAsia="仿宋_GB2312" w:cs="仿宋_GB2312" w:hAnsiTheme="minorEastAsia"/>
          <w:color w:val="333333"/>
          <w:sz w:val="30"/>
          <w:szCs w:val="30"/>
          <w:shd w:val="clear" w:color="auto" w:fill="FFFFFF"/>
          <w:lang w:eastAsia="zh-CN"/>
        </w:rPr>
        <w:t>，剩余资金等待后续文件调整下达</w:t>
      </w:r>
      <w:r>
        <w:rPr>
          <w:rFonts w:hint="eastAsia" w:ascii="仿宋_GB2312" w:eastAsia="仿宋_GB2312" w:cs="仿宋_GB2312" w:hAnsiTheme="minorEastAsia"/>
          <w:color w:val="333333"/>
          <w:sz w:val="30"/>
          <w:szCs w:val="30"/>
          <w:shd w:val="clear" w:color="auto" w:fill="FFFFFF"/>
        </w:rPr>
        <w:t>。</w:t>
      </w:r>
      <w:r>
        <w:rPr>
          <w:rFonts w:hint="eastAsia" w:ascii="仿宋_GB2312" w:eastAsia="仿宋_GB2312" w:cs="仿宋_GB2312" w:hAnsiTheme="minorEastAsia"/>
          <w:color w:val="333333"/>
          <w:sz w:val="30"/>
          <w:szCs w:val="30"/>
          <w:shd w:val="clear" w:color="auto" w:fill="FFFFFF"/>
          <w:lang w:eastAsia="zh-CN"/>
        </w:rPr>
        <w:t>已下达资金</w:t>
      </w:r>
      <w:r>
        <w:rPr>
          <w:rFonts w:hint="eastAsia" w:ascii="仿宋_GB2312" w:eastAsia="仿宋_GB2312" w:cs="仿宋_GB2312" w:hAnsiTheme="minorEastAsia"/>
          <w:color w:val="333333"/>
          <w:sz w:val="30"/>
          <w:szCs w:val="30"/>
          <w:shd w:val="clear" w:color="auto" w:fill="FFFFFF"/>
        </w:rPr>
        <w:t>做到专款专用，无超预算支出。</w:t>
      </w:r>
    </w:p>
    <w:p>
      <w:pPr>
        <w:keepNext w:val="0"/>
        <w:keepLines w:val="0"/>
        <w:pageBreakBefore w:val="0"/>
        <w:widowControl w:val="0"/>
        <w:kinsoku/>
        <w:wordWrap/>
        <w:overflowPunct/>
        <w:topLinePunct w:val="0"/>
        <w:autoSpaceDE/>
        <w:autoSpaceDN/>
        <w:bidi w:val="0"/>
        <w:adjustRightInd/>
        <w:snapToGrid/>
        <w:spacing w:line="360" w:lineRule="auto"/>
        <w:ind w:firstLine="355" w:firstLineChars="100"/>
        <w:textAlignment w:val="auto"/>
        <w:rPr>
          <w:rFonts w:hint="eastAsia" w:ascii="仿宋" w:hAnsi="仿宋" w:eastAsia="仿宋" w:cs="仿宋"/>
          <w:b/>
          <w:bCs/>
          <w:spacing w:val="27"/>
          <w:sz w:val="30"/>
          <w:szCs w:val="30"/>
          <w:lang w:eastAsia="zh-CN"/>
        </w:rPr>
      </w:pPr>
      <w:r>
        <w:rPr>
          <w:rFonts w:hint="eastAsia" w:ascii="仿宋" w:hAnsi="仿宋" w:eastAsia="仿宋" w:cs="仿宋"/>
          <w:b/>
          <w:bCs/>
          <w:spacing w:val="27"/>
          <w:sz w:val="30"/>
          <w:szCs w:val="30"/>
          <w:lang w:eastAsia="zh-CN"/>
        </w:rPr>
        <w:t>（三）专项资金使用绩效存在的问题</w:t>
      </w:r>
    </w:p>
    <w:p>
      <w:pPr>
        <w:spacing w:line="600" w:lineRule="exact"/>
        <w:ind w:firstLine="600" w:firstLineChars="200"/>
        <w:rPr>
          <w:rFonts w:hint="eastAsia" w:ascii="仿宋_GB2312" w:eastAsia="仿宋_GB2312" w:hAnsiTheme="minorEastAsia"/>
          <w:sz w:val="30"/>
          <w:szCs w:val="30"/>
        </w:rPr>
      </w:pPr>
      <w:r>
        <w:rPr>
          <w:rFonts w:hint="eastAsia" w:ascii="仿宋_GB2312" w:eastAsia="仿宋_GB2312" w:hAnsiTheme="minorEastAsia"/>
          <w:sz w:val="30"/>
          <w:szCs w:val="30"/>
        </w:rPr>
        <w:t>资金支付率低，主要原因是：资金支付进度慢，导致资金无法及时支付。</w:t>
      </w:r>
    </w:p>
    <w:p>
      <w:pPr>
        <w:spacing w:line="600" w:lineRule="exact"/>
        <w:ind w:firstLine="600" w:firstLineChars="200"/>
        <w:rPr>
          <w:rFonts w:hint="eastAsia" w:ascii="仿宋_GB2312" w:eastAsia="仿宋_GB2312" w:hAnsiTheme="minorEastAsia"/>
          <w:sz w:val="30"/>
          <w:szCs w:val="30"/>
        </w:rPr>
      </w:pPr>
    </w:p>
    <w:p>
      <w:pPr>
        <w:keepNext w:val="0"/>
        <w:keepLines w:val="0"/>
        <w:pageBreakBefore w:val="0"/>
        <w:widowControl w:val="0"/>
        <w:kinsoku/>
        <w:wordWrap/>
        <w:overflowPunct/>
        <w:topLinePunct w:val="0"/>
        <w:autoSpaceDE/>
        <w:autoSpaceDN/>
        <w:bidi w:val="0"/>
        <w:adjustRightInd/>
        <w:snapToGrid/>
        <w:spacing w:line="360" w:lineRule="auto"/>
        <w:ind w:firstLine="583" w:firstLineChars="200"/>
        <w:textAlignment w:val="auto"/>
        <w:rPr>
          <w:rFonts w:hint="eastAsia" w:ascii="宋体" w:hAnsi="宋体" w:eastAsia="宋体" w:cs="宋体"/>
          <w:b/>
          <w:bCs/>
          <w:spacing w:val="-15"/>
          <w:sz w:val="32"/>
          <w:szCs w:val="32"/>
          <w:lang w:eastAsia="zh-CN"/>
        </w:rPr>
      </w:pPr>
      <w:r>
        <w:rPr>
          <w:rFonts w:hint="eastAsia" w:ascii="宋体" w:hAnsi="宋体" w:eastAsia="宋体" w:cs="宋体"/>
          <w:b/>
          <w:bCs/>
          <w:spacing w:val="-15"/>
          <w:sz w:val="32"/>
          <w:szCs w:val="32"/>
          <w:lang w:eastAsia="zh-CN"/>
        </w:rPr>
        <w:t>三、改进意见</w:t>
      </w:r>
    </w:p>
    <w:p>
      <w:pPr>
        <w:spacing w:line="600" w:lineRule="exact"/>
        <w:ind w:firstLine="600" w:firstLineChars="200"/>
        <w:rPr>
          <w:rFonts w:ascii="仿宋_GB2312" w:eastAsia="仿宋_GB2312" w:cs="仿宋_GB2312" w:hAnsiTheme="minorEastAsia"/>
          <w:color w:val="333333"/>
          <w:sz w:val="30"/>
          <w:szCs w:val="30"/>
          <w:shd w:val="clear" w:color="auto" w:fill="FFFFFF"/>
        </w:rPr>
      </w:pPr>
      <w:r>
        <w:rPr>
          <w:rFonts w:hint="eastAsia" w:ascii="仿宋_GB2312" w:eastAsia="仿宋_GB2312" w:hAnsiTheme="minorEastAsia"/>
          <w:sz w:val="30"/>
          <w:szCs w:val="30"/>
        </w:rPr>
        <w:t>加快支付进度，确保按时足额支付。</w:t>
      </w:r>
    </w:p>
    <w:p>
      <w:pPr>
        <w:spacing w:line="600" w:lineRule="exact"/>
        <w:rPr>
          <w:rFonts w:ascii="仿宋_GB2312" w:eastAsia="仿宋_GB2312" w:cs="仿宋_GB2312" w:hAnsiTheme="minorEastAsia"/>
          <w:color w:val="333333"/>
          <w:sz w:val="30"/>
          <w:szCs w:val="30"/>
          <w:shd w:val="clear" w:color="auto"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2DB5AA"/>
    <w:multiLevelType w:val="singleLevel"/>
    <w:tmpl w:val="F22DB5A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mJlYjk1YmM2MzU4N2QzNzEyZmIzZGZmM2FjYjcwOTAifQ=="/>
  </w:docVars>
  <w:rsids>
    <w:rsidRoot w:val="00DC788F"/>
    <w:rsid w:val="000114F9"/>
    <w:rsid w:val="00180A8F"/>
    <w:rsid w:val="001B6EC4"/>
    <w:rsid w:val="00205034"/>
    <w:rsid w:val="00386AB5"/>
    <w:rsid w:val="00394664"/>
    <w:rsid w:val="00636750"/>
    <w:rsid w:val="009F1AB6"/>
    <w:rsid w:val="00B266F0"/>
    <w:rsid w:val="00B87D9A"/>
    <w:rsid w:val="00C62141"/>
    <w:rsid w:val="00C66DED"/>
    <w:rsid w:val="00C86BE9"/>
    <w:rsid w:val="00CF4782"/>
    <w:rsid w:val="00D163BE"/>
    <w:rsid w:val="00DB6072"/>
    <w:rsid w:val="00DC788F"/>
    <w:rsid w:val="00E11943"/>
    <w:rsid w:val="00E507E4"/>
    <w:rsid w:val="190C7CE1"/>
    <w:rsid w:val="41E33C60"/>
    <w:rsid w:val="433A4A4F"/>
    <w:rsid w:val="62F60CCF"/>
    <w:rsid w:val="63FD075A"/>
    <w:rsid w:val="71247F3B"/>
    <w:rsid w:val="780C5ACF"/>
    <w:rsid w:val="7CDF3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pPr>
      <w:spacing w:after="120"/>
    </w:pPr>
  </w:style>
  <w:style w:type="paragraph" w:styleId="3">
    <w:name w:val="footer"/>
    <w:basedOn w:val="1"/>
    <w:link w:val="9"/>
    <w:autoRedefine/>
    <w:semiHidden/>
    <w:unhideWhenUsed/>
    <w:qFormat/>
    <w:uiPriority w:val="99"/>
    <w:pPr>
      <w:tabs>
        <w:tab w:val="center" w:pos="4153"/>
        <w:tab w:val="right" w:pos="8306"/>
      </w:tabs>
      <w:snapToGrid w:val="0"/>
      <w:jc w:val="left"/>
    </w:pPr>
    <w:rPr>
      <w:sz w:val="18"/>
      <w:szCs w:val="18"/>
    </w:rPr>
  </w:style>
  <w:style w:type="paragraph" w:styleId="4">
    <w:name w:val="header"/>
    <w:basedOn w:val="1"/>
    <w:link w:val="8"/>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Body Text First Indent"/>
    <w:basedOn w:val="2"/>
    <w:autoRedefine/>
    <w:qFormat/>
    <w:uiPriority w:val="0"/>
    <w:pPr>
      <w:spacing w:line="240" w:lineRule="auto"/>
      <w:ind w:firstLine="420" w:firstLineChars="100"/>
    </w:pPr>
    <w:rPr>
      <w:rFonts w:ascii="Tahoma" w:hAnsi="Tahoma"/>
      <w:b/>
      <w:sz w:val="21"/>
    </w:rPr>
  </w:style>
  <w:style w:type="character" w:customStyle="1" w:styleId="8">
    <w:name w:val="页眉 Char"/>
    <w:basedOn w:val="7"/>
    <w:link w:val="4"/>
    <w:autoRedefine/>
    <w:semiHidden/>
    <w:qFormat/>
    <w:uiPriority w:val="99"/>
    <w:rPr>
      <w:sz w:val="18"/>
      <w:szCs w:val="18"/>
    </w:rPr>
  </w:style>
  <w:style w:type="character" w:customStyle="1" w:styleId="9">
    <w:name w:val="页脚 Char"/>
    <w:basedOn w:val="7"/>
    <w:link w:val="3"/>
    <w:autoRedefine/>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2F0F0-3005-465D-BE8B-2D8F18F207E6}">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103</Words>
  <Characters>588</Characters>
  <Lines>4</Lines>
  <Paragraphs>1</Paragraphs>
  <TotalTime>1</TotalTime>
  <ScaleCrop>false</ScaleCrop>
  <LinksUpToDate>false</LinksUpToDate>
  <CharactersWithSpaces>690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2024-01-12T01:49:00Z</dcterms:created>
  <dc:creator>User</dc:creator>
  <cp:lastModifiedBy>不渝_。</cp:lastModifiedBy>
  <cp:lastPrinted>2024-01-12T01:39:00Z</cp:lastPrinted>
  <dcterms:modified xsi:type="dcterms:W3CDTF">2024-05-06T01:09:58Z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B7BF954D17E94E98ABB89EB6B59C770A_12</vt:lpwstr>
  </property>
</Properties>
</file>