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default" w:ascii="仿宋_GB2312" w:hAnsi="仿宋_GB2312" w:eastAsia="仿宋_GB2312" w:cs="仿宋_GB2312"/>
          <w:sz w:val="32"/>
          <w:szCs w:val="32"/>
          <w:lang w:val="en-US" w:eastAsia="zh-CN"/>
        </w:rPr>
      </w:pP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2023年韶关市曲江区 2023年农田灌溉水</w:t>
      </w: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有效利用系数测算项目绩效自评报告</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z w:val="32"/>
          <w:szCs w:val="32"/>
        </w:rPr>
      </w:pPr>
      <w:r>
        <w:rPr>
          <w:rFonts w:hint="eastAsia" w:ascii="宋体" w:hAnsi="宋体" w:eastAsia="宋体" w:cs="宋体"/>
          <w:b/>
          <w:bCs/>
          <w:spacing w:val="-15"/>
          <w:sz w:val="32"/>
          <w:szCs w:val="32"/>
        </w:rPr>
        <w:t>一、基本情况</w:t>
      </w:r>
    </w:p>
    <w:p>
      <w:pPr>
        <w:spacing w:line="360" w:lineRule="auto"/>
        <w:ind w:firstLine="480"/>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韶关市曲江区 2023年农田灌溉水有效利用系数测算项目主要实施内容为在选定的四个样点灌区（小坑水库灌区、罗坑水库灌区周岸陂灌区和大塘镇历山灌区）开展现场调研与资料分析，选定典型田块与测量渠道，安排技术人员开展水量测试实验，记录并整理数据，根据实际测量数据进行分析计算，得出全区农田灌溉水有效利用系数，完善2022年度的相关资料和《曲江区2023年度农田灌溉水有效利用系数测算分析报告》（以下简称《2023年度报告》）以及罗坑水库灌区主干渠（下南引、上南引、邓工陂）骨干渠系的利用系数。项目于2023年7月开展工作，2023年12月底已完成在选定的样点灌区主干渠及选定典型田块开展全年的现场调研与测算，并汇总编制完成曲江区2023年农田灌溉水有效利用系数测算分析报告，2024年1月26日完成项目。</w:t>
      </w:r>
    </w:p>
    <w:p>
      <w:pPr>
        <w:spacing w:line="360" w:lineRule="auto"/>
        <w:ind w:firstLine="480"/>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2022年12月26日，韶关市财政局以《关于提前下达2023年省级涉农统筹整合转移支付资金的通知》（韶曲财农[2022]163号文）下达省级涉农资金30万元，用于韶关市曲江区 2023年农田灌溉水有效利用系数测算项目。</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二、自评情况</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rPr>
      </w:pPr>
      <w:r>
        <w:rPr>
          <w:rFonts w:hint="eastAsia" w:ascii="仿宋" w:hAnsi="仿宋" w:eastAsia="仿宋" w:cs="仿宋"/>
          <w:b/>
          <w:bCs/>
          <w:spacing w:val="27"/>
          <w:sz w:val="30"/>
          <w:szCs w:val="30"/>
        </w:rPr>
        <w:t>（一）自评分数</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根据资金申报文件、工程实施方案、监理等资料，资金支付，工程合同、施工照片、付款票据，整个施工过程规范、安全，对工程施工中满意度等项目管理的相关文件，自评分数为100分。</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rPr>
      </w:pPr>
      <w:r>
        <w:rPr>
          <w:rFonts w:hint="eastAsia" w:ascii="仿宋" w:hAnsi="仿宋" w:eastAsia="仿宋" w:cs="仿宋"/>
          <w:b/>
          <w:bCs/>
          <w:spacing w:val="27"/>
          <w:sz w:val="30"/>
          <w:szCs w:val="30"/>
          <w:lang w:eastAsia="zh-CN"/>
        </w:rPr>
        <w:t>（二）</w:t>
      </w:r>
      <w:r>
        <w:rPr>
          <w:rFonts w:hint="eastAsia" w:ascii="仿宋" w:hAnsi="仿宋" w:eastAsia="仿宋" w:cs="仿宋"/>
          <w:b/>
          <w:bCs/>
          <w:spacing w:val="27"/>
          <w:sz w:val="30"/>
          <w:szCs w:val="30"/>
        </w:rPr>
        <w:t>专项资金使用绩效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（1）专项资金支出情况</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该项目资金已申请10万元预付款，已支付10万元，剩余20万未申请支付，支付率33.33</w:t>
      </w:r>
      <w:bookmarkStart w:id="0" w:name="_GoBack"/>
      <w:bookmarkEnd w:id="0"/>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kern w:val="2"/>
          <w:sz w:val="32"/>
          <w:szCs w:val="32"/>
          <w:shd w:val="clear" w:fill="FFFFFF"/>
          <w:lang w:val="en-US" w:eastAsia="zh-CN" w:bidi="ar-SA"/>
        </w:rPr>
        <w:t>（2）</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资金管理、项目管理情况</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2022年12月26日，韶关市财政局以《关于提前下达2023年省级涉农统筹整合转移支付资金的通知》（韶曲财农[2022]163号文）下达省级涉农资金30万元，用于韶关市曲江区 2023年农田灌溉水有效利用系数测算项目。</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仿宋_GB2312" w:hAnsi="仿宋_GB2312" w:eastAsia="仿宋_GB2312" w:cs="仿宋_GB2312"/>
          <w:b w:val="0"/>
          <w:bCs w:val="0"/>
          <w:i w:val="0"/>
          <w:iCs w:val="0"/>
          <w:caps w:val="0"/>
          <w:color w:val="333333"/>
          <w:spacing w:val="0"/>
          <w:sz w:val="30"/>
          <w:szCs w:val="30"/>
          <w:shd w:val="clear" w:fill="FFFFFF"/>
          <w:lang w:val="en-US" w:eastAsia="zh-CN"/>
        </w:rPr>
      </w:pPr>
      <w:r>
        <w:rPr>
          <w:rFonts w:hint="default" w:ascii="仿宋_GB2312" w:hAnsi="仿宋_GB2312" w:eastAsia="仿宋_GB2312" w:cs="仿宋_GB2312"/>
          <w:b w:val="0"/>
          <w:bCs w:val="0"/>
          <w:i w:val="0"/>
          <w:iCs w:val="0"/>
          <w:caps w:val="0"/>
          <w:color w:val="333333"/>
          <w:spacing w:val="0"/>
          <w:sz w:val="30"/>
          <w:szCs w:val="30"/>
          <w:shd w:val="clear" w:fill="FFFFFF"/>
          <w:lang w:val="en-US" w:eastAsia="zh-CN"/>
        </w:rPr>
        <w:t>我单位对项目资金进行专款管理，做到专款专用，确保协调好项目的用款计划、用款进度、用款额度等，使项目的正常运作展开。</w:t>
      </w: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科学设置项目绩效</w:t>
      </w:r>
      <w:r>
        <w:rPr>
          <w:rFonts w:hint="default" w:ascii="仿宋_GB2312" w:hAnsi="仿宋_GB2312" w:eastAsia="仿宋_GB2312" w:cs="仿宋_GB2312"/>
          <w:b w:val="0"/>
          <w:bCs w:val="0"/>
          <w:i w:val="0"/>
          <w:iCs w:val="0"/>
          <w:caps w:val="0"/>
          <w:color w:val="333333"/>
          <w:spacing w:val="0"/>
          <w:sz w:val="30"/>
          <w:szCs w:val="30"/>
          <w:shd w:val="clear" w:fill="FFFFFF"/>
          <w:lang w:val="en-US" w:eastAsia="zh-CN"/>
        </w:rPr>
        <w:t>目标，</w:t>
      </w: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确保</w:t>
      </w:r>
      <w:r>
        <w:rPr>
          <w:rFonts w:hint="default" w:ascii="仿宋_GB2312" w:hAnsi="仿宋_GB2312" w:eastAsia="仿宋_GB2312" w:cs="仿宋_GB2312"/>
          <w:b w:val="0"/>
          <w:bCs w:val="0"/>
          <w:i w:val="0"/>
          <w:iCs w:val="0"/>
          <w:caps w:val="0"/>
          <w:color w:val="333333"/>
          <w:spacing w:val="0"/>
          <w:sz w:val="30"/>
          <w:szCs w:val="30"/>
          <w:shd w:val="clear" w:fill="FFFFFF"/>
          <w:lang w:val="en-US" w:eastAsia="zh-CN"/>
        </w:rPr>
        <w:t>各项符合相关规定。项目实施过程中，遵循先考察、调研，再根据我单位工作实际情况制定相应的措施。实现了项目管理与过程管理的有机结合。</w:t>
      </w: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同时</w:t>
      </w:r>
      <w:r>
        <w:rPr>
          <w:rFonts w:hint="default" w:ascii="仿宋_GB2312" w:hAnsi="仿宋_GB2312" w:eastAsia="仿宋_GB2312" w:cs="仿宋_GB2312"/>
          <w:b w:val="0"/>
          <w:bCs w:val="0"/>
          <w:i w:val="0"/>
          <w:iCs w:val="0"/>
          <w:caps w:val="0"/>
          <w:color w:val="333333"/>
          <w:spacing w:val="0"/>
          <w:sz w:val="30"/>
          <w:szCs w:val="30"/>
          <w:shd w:val="clear" w:fill="FFFFFF"/>
          <w:lang w:val="en-US" w:eastAsia="zh-CN"/>
        </w:rPr>
        <w:t>由主管局为监管部门，不定期对项目执行单位进度情况进行督导检查，对检查过程中发现的问题及时督促整改，确保项目按时保质完成。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kern w:val="2"/>
          <w:sz w:val="32"/>
          <w:szCs w:val="32"/>
          <w:shd w:val="clear" w:fill="FFFFFF"/>
          <w:lang w:val="en-US" w:eastAsia="zh-CN" w:bidi="ar-SA"/>
        </w:rPr>
      </w:pPr>
      <w:r>
        <w:rPr>
          <w:rFonts w:hint="eastAsia" w:ascii="仿宋_GB2312" w:hAnsi="仿宋_GB2312" w:eastAsia="仿宋_GB2312" w:cs="仿宋_GB2312"/>
          <w:b w:val="0"/>
          <w:bCs w:val="0"/>
          <w:i w:val="0"/>
          <w:iCs w:val="0"/>
          <w:caps w:val="0"/>
          <w:color w:val="333333"/>
          <w:spacing w:val="0"/>
          <w:kern w:val="2"/>
          <w:sz w:val="32"/>
          <w:szCs w:val="32"/>
          <w:shd w:val="clear" w:fill="FFFFFF"/>
          <w:lang w:val="en-US" w:eastAsia="zh-CN" w:bidi="ar-SA"/>
        </w:rPr>
        <w:t>（3）专项资金完成绩效目标情况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我单位积极协调施工方抓好施工进度，严格把好施工质量关，目前主体工程建设任务已基本完成，很好地完成了绩效目标。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（4）专项资金分用途使用绩效。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在项目工程开展过程中，严格规范资金的使用，做到专款专用，规范支出；在整个项目实施的过程中，严格按预算控制成本，杜绝超预算支出。</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rPr>
      </w:pPr>
      <w:r>
        <w:rPr>
          <w:rFonts w:hint="eastAsia" w:ascii="仿宋" w:hAnsi="仿宋" w:eastAsia="仿宋" w:cs="仿宋"/>
          <w:b/>
          <w:bCs/>
          <w:spacing w:val="27"/>
          <w:sz w:val="30"/>
          <w:szCs w:val="30"/>
          <w:lang w:eastAsia="zh-CN"/>
        </w:rPr>
        <w:t>（三）</w:t>
      </w:r>
      <w:r>
        <w:rPr>
          <w:rFonts w:hint="eastAsia" w:ascii="仿宋" w:hAnsi="仿宋" w:eastAsia="仿宋" w:cs="仿宋"/>
          <w:b/>
          <w:bCs/>
          <w:spacing w:val="27"/>
          <w:sz w:val="30"/>
          <w:szCs w:val="30"/>
        </w:rPr>
        <w:t>专项资金使用绩效存在的问题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无</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三、改进意见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hMmY1ZWEzMjgzNDQxN2M0NzhmNjk5MWY0OTFmMjUifQ=="/>
  </w:docVars>
  <w:rsids>
    <w:rsidRoot w:val="14A47411"/>
    <w:rsid w:val="01B24D5C"/>
    <w:rsid w:val="05780E32"/>
    <w:rsid w:val="0F252FA5"/>
    <w:rsid w:val="0FC37BA1"/>
    <w:rsid w:val="13802C3D"/>
    <w:rsid w:val="14A47411"/>
    <w:rsid w:val="1A366198"/>
    <w:rsid w:val="25C40100"/>
    <w:rsid w:val="2A654741"/>
    <w:rsid w:val="2CD849D4"/>
    <w:rsid w:val="308710A4"/>
    <w:rsid w:val="32AD380F"/>
    <w:rsid w:val="3DB65A08"/>
    <w:rsid w:val="3DBB238D"/>
    <w:rsid w:val="3FD31547"/>
    <w:rsid w:val="47282841"/>
    <w:rsid w:val="48966610"/>
    <w:rsid w:val="49C614E3"/>
    <w:rsid w:val="4E804385"/>
    <w:rsid w:val="52144136"/>
    <w:rsid w:val="54535022"/>
    <w:rsid w:val="58C4382E"/>
    <w:rsid w:val="59243CAB"/>
    <w:rsid w:val="5DBE01D1"/>
    <w:rsid w:val="5E703FEA"/>
    <w:rsid w:val="604B12AD"/>
    <w:rsid w:val="65BA67B2"/>
    <w:rsid w:val="6D642308"/>
    <w:rsid w:val="6E84240F"/>
    <w:rsid w:val="71E754FA"/>
    <w:rsid w:val="7A10306F"/>
    <w:rsid w:val="7E9B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autoRedefine/>
    <w:qFormat/>
    <w:uiPriority w:val="0"/>
    <w:pPr>
      <w:spacing w:line="240" w:lineRule="auto"/>
      <w:ind w:firstLine="420" w:firstLineChars="100"/>
    </w:pPr>
    <w:rPr>
      <w:rFonts w:ascii="Tahoma" w:hAnsi="Tahoma"/>
      <w:b/>
      <w:sz w:val="21"/>
    </w:rPr>
  </w:style>
  <w:style w:type="paragraph" w:styleId="3">
    <w:name w:val="Body Text"/>
    <w:basedOn w:val="1"/>
    <w:autoRedefine/>
    <w:qFormat/>
    <w:uiPriority w:val="0"/>
    <w:pPr>
      <w:spacing w:after="120"/>
    </w:pPr>
  </w:style>
  <w:style w:type="paragraph" w:styleId="4">
    <w:name w:val="Normal Indent"/>
    <w:basedOn w:val="1"/>
    <w:autoRedefine/>
    <w:qFormat/>
    <w:uiPriority w:val="0"/>
    <w:pPr>
      <w:ind w:firstLine="420"/>
    </w:pPr>
    <w:rPr>
      <w:szCs w:val="20"/>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663</Words>
  <Characters>691</Characters>
  <Lines>0</Lines>
  <Paragraphs>0</Paragraphs>
  <TotalTime>0</TotalTime>
  <ScaleCrop>false</ScaleCrop>
  <LinksUpToDate>false</LinksUpToDate>
  <CharactersWithSpaces>691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2022-07-15T00:27:00Z</dcterms:created>
  <dc:creator>LG</dc:creator>
  <cp:lastModifiedBy>不渝_。</cp:lastModifiedBy>
  <dcterms:modified xsi:type="dcterms:W3CDTF">2024-05-05T08:06:59Z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70576A391FFE46A1B87DE5C97B6585EC_13</vt:lpwstr>
  </property>
</Properties>
</file>