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pPr>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附件1：</w:t>
      </w:r>
    </w:p>
    <w:p>
      <w:pPr>
        <w:jc w:val="center"/>
        <w:rPr>
          <w:rFonts w:hint="eastAsia" w:ascii="仿宋_GB2312" w:hAnsi="仿宋_GB2312" w:eastAsia="仿宋_GB2312" w:cs="仿宋_GB2312"/>
          <w:b/>
          <w:bCs/>
          <w:i w:val="0"/>
          <w:iCs w:val="0"/>
          <w:caps w:val="0"/>
          <w:color w:val="333333"/>
          <w:spacing w:val="0"/>
          <w:sz w:val="44"/>
          <w:szCs w:val="44"/>
          <w:shd w:val="clear" w:fill="FFFFFF"/>
          <w:lang w:val="en-US" w:eastAsia="zh-CN"/>
        </w:rPr>
      </w:pPr>
      <w:r>
        <w:rPr>
          <w:rFonts w:hint="eastAsia" w:ascii="仿宋_GB2312" w:hAnsi="仿宋_GB2312" w:eastAsia="仿宋_GB2312" w:cs="仿宋_GB2312"/>
          <w:b/>
          <w:bCs/>
          <w:i w:val="0"/>
          <w:iCs w:val="0"/>
          <w:caps w:val="0"/>
          <w:color w:val="333333"/>
          <w:spacing w:val="0"/>
          <w:sz w:val="44"/>
          <w:szCs w:val="44"/>
          <w:shd w:val="clear" w:fill="FFFFFF"/>
          <w:lang w:val="en-US" w:eastAsia="zh-CN"/>
        </w:rPr>
        <w:t>2023年韶关市曲江区涉农资金绩效</w:t>
      </w:r>
    </w:p>
    <w:p>
      <w:pPr>
        <w:jc w:val="center"/>
        <w:rPr>
          <w:rFonts w:hint="eastAsia" w:ascii="仿宋_GB2312" w:hAnsi="仿宋_GB2312" w:eastAsia="仿宋_GB2312" w:cs="仿宋_GB2312"/>
          <w:b/>
          <w:bCs/>
          <w:i w:val="0"/>
          <w:iCs w:val="0"/>
          <w:caps w:val="0"/>
          <w:color w:val="333333"/>
          <w:spacing w:val="0"/>
          <w:sz w:val="44"/>
          <w:szCs w:val="44"/>
          <w:shd w:val="clear" w:fill="FFFFFF"/>
          <w:lang w:val="en-US" w:eastAsia="zh-CN"/>
        </w:rPr>
      </w:pPr>
      <w:r>
        <w:rPr>
          <w:rFonts w:hint="eastAsia" w:ascii="仿宋_GB2312" w:hAnsi="仿宋_GB2312" w:eastAsia="仿宋_GB2312" w:cs="仿宋_GB2312"/>
          <w:b/>
          <w:bCs/>
          <w:i w:val="0"/>
          <w:iCs w:val="0"/>
          <w:caps w:val="0"/>
          <w:color w:val="333333"/>
          <w:spacing w:val="0"/>
          <w:sz w:val="44"/>
          <w:szCs w:val="44"/>
          <w:shd w:val="clear" w:fill="FFFFFF"/>
          <w:lang w:val="en-US" w:eastAsia="zh-CN"/>
        </w:rPr>
        <w:t>自评报告</w:t>
      </w:r>
    </w:p>
    <w:p>
      <w:pPr>
        <w:jc w:val="center"/>
        <w:rPr>
          <w:rFonts w:hint="eastAsia" w:ascii="仿宋_GB2312" w:hAnsi="仿宋_GB2312" w:eastAsia="仿宋_GB2312" w:cs="仿宋_GB2312"/>
          <w:b/>
          <w:bCs/>
          <w:i w:val="0"/>
          <w:iCs w:val="0"/>
          <w:caps w:val="0"/>
          <w:color w:val="333333"/>
          <w:spacing w:val="0"/>
          <w:sz w:val="44"/>
          <w:szCs w:val="44"/>
          <w:shd w:val="clear" w:fill="FFFFFF"/>
          <w:lang w:val="en-US" w:eastAsia="zh-CN"/>
        </w:rPr>
      </w:pPr>
    </w:p>
    <w:p>
      <w:pPr>
        <w:jc w:val="center"/>
        <w:rPr>
          <w:rFonts w:hint="eastAsia" w:ascii="仿宋_GB2312" w:hAnsi="仿宋_GB2312" w:eastAsia="仿宋_GB2312" w:cs="仿宋_GB2312"/>
          <w:b/>
          <w:bCs/>
          <w:i w:val="0"/>
          <w:iCs w:val="0"/>
          <w:caps w:val="0"/>
          <w:color w:val="333333"/>
          <w:spacing w:val="0"/>
          <w:sz w:val="44"/>
          <w:szCs w:val="4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83" w:firstLineChars="200"/>
        <w:textAlignment w:val="auto"/>
        <w:rPr>
          <w:rFonts w:hint="eastAsia" w:ascii="宋体" w:hAnsi="宋体" w:eastAsia="宋体" w:cs="宋体"/>
          <w:b/>
          <w:bCs/>
          <w:sz w:val="32"/>
          <w:szCs w:val="32"/>
        </w:rPr>
      </w:pPr>
      <w:r>
        <w:rPr>
          <w:rFonts w:hint="eastAsia" w:ascii="宋体" w:hAnsi="宋体" w:eastAsia="宋体" w:cs="宋体"/>
          <w:b/>
          <w:bCs/>
          <w:spacing w:val="-15"/>
          <w:sz w:val="32"/>
          <w:szCs w:val="32"/>
        </w:rPr>
        <w:t>一、基本情况</w:t>
      </w:r>
    </w:p>
    <w:p>
      <w:pPr>
        <w:pStyle w:val="2"/>
        <w:widowControl w:val="0"/>
        <w:numPr>
          <w:ilvl w:val="0"/>
          <w:numId w:val="0"/>
        </w:numPr>
        <w:spacing w:line="360" w:lineRule="auto"/>
        <w:ind w:firstLine="520"/>
        <w:jc w:val="both"/>
        <w:rPr>
          <w:rFonts w:hint="eastAsia" w:ascii="仿宋_GB2312" w:hAnsi="Times New Roman" w:eastAsia="仿宋_GB2312" w:cs="Times New Roman"/>
          <w:kern w:val="2"/>
          <w:sz w:val="32"/>
          <w:szCs w:val="32"/>
          <w:lang w:val="en-US" w:eastAsia="zh-CN" w:bidi="ar-SA"/>
        </w:rPr>
      </w:pPr>
      <w:r>
        <w:rPr>
          <w:rFonts w:hint="eastAsia" w:ascii="仿宋_GB2312" w:eastAsia="仿宋_GB2312"/>
          <w:sz w:val="32"/>
          <w:szCs w:val="32"/>
        </w:rPr>
        <w:t>韶关市曲江区小坑水库标准化管理达标建设项目</w:t>
      </w: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主要建设内容有：标识标牌设计、保护范围划定、制度（方案、手册）编制、监测设施升级改造和综合管理平台建设、水文化建设。</w:t>
      </w:r>
      <w:r>
        <w:rPr>
          <w:rFonts w:hint="eastAsia" w:ascii="仿宋_GB2312" w:hAnsi="Times New Roman" w:eastAsia="仿宋_GB2312" w:cs="Times New Roman"/>
          <w:kern w:val="2"/>
          <w:sz w:val="32"/>
          <w:szCs w:val="32"/>
          <w:lang w:val="en-US" w:eastAsia="zh-CN" w:bidi="ar-SA"/>
        </w:rPr>
        <w:t>区改革和发展局</w:t>
      </w:r>
      <w:r>
        <w:rPr>
          <w:rFonts w:hint="eastAsia" w:ascii="仿宋_GB2312" w:eastAsia="仿宋_GB2312" w:cs="Times New Roman"/>
          <w:kern w:val="2"/>
          <w:sz w:val="32"/>
          <w:szCs w:val="32"/>
          <w:lang w:val="en-US" w:eastAsia="zh-CN" w:bidi="ar-SA"/>
        </w:rPr>
        <w:t>以</w:t>
      </w:r>
      <w:r>
        <w:rPr>
          <w:rFonts w:hint="eastAsia" w:ascii="仿宋_GB2312" w:hAnsi="Times New Roman" w:eastAsia="仿宋_GB2312" w:cs="Times New Roman"/>
          <w:kern w:val="2"/>
          <w:sz w:val="32"/>
          <w:szCs w:val="32"/>
          <w:lang w:val="en-US" w:eastAsia="zh-CN" w:bidi="ar-SA"/>
        </w:rPr>
        <w:t>曲发改投审【2023】17号《韶关市曲江区小坑水库标准化管理达标建设项目初步设计概算的批复》批复该项目概算总投资269.85万元</w:t>
      </w:r>
      <w:r>
        <w:rPr>
          <w:rFonts w:hint="eastAsia" w:ascii="仿宋_GB2312" w:eastAsia="仿宋_GB2312" w:cs="Times New Roman"/>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该工程于2023年11月正式开工建设，已完成各类标识标牌48块、完善11类运行管理制度，编制了《小坑水库标准化工作手册》、增加监测大坝渗流自动测量装置、采用云服务将监测数据同步上传省数据中心、增加雷达流量计和浊度传感仪进行实时监测等截止目前已完成形象投资进度95%。计划</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2024年5</w:t>
      </w:r>
      <w:bookmarkStart w:id="0" w:name="_GoBack"/>
      <w:bookmarkEnd w:id="0"/>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月31日前</w:t>
      </w: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完成全部工程建设任务。</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2023年涉农资金下达</w:t>
      </w:r>
      <w:r>
        <w:rPr>
          <w:rFonts w:hint="eastAsia" w:ascii="仿宋_GB2312" w:eastAsia="仿宋_GB2312"/>
          <w:sz w:val="32"/>
          <w:szCs w:val="32"/>
          <w:lang w:val="en-US" w:eastAsia="zh-CN"/>
        </w:rPr>
        <w:t>174.3956</w:t>
      </w: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万元</w:t>
      </w:r>
      <w:r>
        <w:rPr>
          <w:rFonts w:hint="eastAsia" w:ascii="仿宋_GB2312" w:eastAsia="仿宋_GB2312"/>
          <w:color w:val="auto"/>
          <w:sz w:val="32"/>
          <w:szCs w:val="32"/>
          <w:lang w:eastAsia="zh-CN"/>
        </w:rPr>
        <w:t>《关于提前下达 2023 年省级涉农统筹整合转移支付资金的通知》（韶财农〔2022〕163 号）。</w:t>
      </w: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截至目前为止到位资金合计为</w:t>
      </w:r>
      <w:r>
        <w:rPr>
          <w:rFonts w:hint="eastAsia" w:ascii="仿宋_GB2312" w:eastAsia="仿宋_GB2312"/>
          <w:sz w:val="32"/>
          <w:szCs w:val="32"/>
          <w:lang w:val="en-US" w:eastAsia="zh-CN"/>
        </w:rPr>
        <w:t>174.3956</w:t>
      </w: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万元,资金全部用于</w:t>
      </w:r>
      <w:r>
        <w:rPr>
          <w:rFonts w:hint="eastAsia" w:ascii="仿宋_GB2312" w:hAnsi="Times New Roman" w:eastAsia="仿宋_GB2312" w:cs="Times New Roman"/>
          <w:kern w:val="2"/>
          <w:sz w:val="32"/>
          <w:szCs w:val="32"/>
          <w:lang w:val="en-US" w:eastAsia="zh-CN" w:bidi="ar-SA"/>
        </w:rPr>
        <w:t>韶关市曲江区小坑水库标准化管理达标建设项目</w:t>
      </w: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583" w:firstLineChars="200"/>
        <w:textAlignment w:val="auto"/>
        <w:rPr>
          <w:rFonts w:hint="eastAsia" w:ascii="宋体" w:hAnsi="宋体" w:eastAsia="宋体" w:cs="宋体"/>
          <w:b/>
          <w:bCs/>
          <w:spacing w:val="-15"/>
          <w:sz w:val="32"/>
          <w:szCs w:val="32"/>
        </w:rPr>
      </w:pPr>
      <w:r>
        <w:rPr>
          <w:rFonts w:hint="eastAsia" w:ascii="宋体" w:hAnsi="宋体" w:eastAsia="宋体" w:cs="宋体"/>
          <w:b/>
          <w:bCs/>
          <w:spacing w:val="-15"/>
          <w:sz w:val="32"/>
          <w:szCs w:val="32"/>
        </w:rPr>
        <w:t>二、自评情况</w:t>
      </w:r>
    </w:p>
    <w:p>
      <w:pPr>
        <w:keepNext w:val="0"/>
        <w:keepLines w:val="0"/>
        <w:pageBreakBefore w:val="0"/>
        <w:widowControl w:val="0"/>
        <w:kinsoku/>
        <w:wordWrap/>
        <w:overflowPunct/>
        <w:topLinePunct w:val="0"/>
        <w:autoSpaceDE/>
        <w:autoSpaceDN/>
        <w:bidi w:val="0"/>
        <w:adjustRightInd/>
        <w:snapToGrid/>
        <w:spacing w:line="360" w:lineRule="auto"/>
        <w:ind w:firstLine="751" w:firstLineChars="200"/>
        <w:textAlignment w:val="auto"/>
        <w:rPr>
          <w:rFonts w:hint="eastAsia" w:ascii="仿宋" w:hAnsi="仿宋" w:eastAsia="仿宋" w:cs="仿宋"/>
          <w:b/>
          <w:bCs/>
          <w:spacing w:val="27"/>
          <w:sz w:val="32"/>
          <w:szCs w:val="32"/>
        </w:rPr>
      </w:pPr>
      <w:r>
        <w:rPr>
          <w:rFonts w:hint="eastAsia" w:ascii="仿宋" w:hAnsi="仿宋" w:eastAsia="仿宋" w:cs="仿宋"/>
          <w:b/>
          <w:bCs/>
          <w:spacing w:val="27"/>
          <w:sz w:val="32"/>
          <w:szCs w:val="32"/>
        </w:rPr>
        <w:t>（一）自评分数</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根据资金申报文件、工程实施方案、监理等资料，资金支付，工程合同、施工照片、付款票据，整个施工过程规范、安全，和水库员工对工程施工中满意度等项目管理的相关文件。此次</w:t>
      </w:r>
      <w:r>
        <w:rPr>
          <w:rFonts w:hint="eastAsia" w:ascii="仿宋_GB2312" w:hAnsi="Times New Roman" w:eastAsia="仿宋_GB2312" w:cs="Times New Roman"/>
          <w:kern w:val="2"/>
          <w:sz w:val="32"/>
          <w:szCs w:val="32"/>
          <w:lang w:val="en-US" w:eastAsia="zh-CN" w:bidi="ar-SA"/>
        </w:rPr>
        <w:t>韶关市曲江区小坑水库标准化管理达标建设项目</w:t>
      </w: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自评分数为100分。</w:t>
      </w:r>
    </w:p>
    <w:p>
      <w:pPr>
        <w:keepNext w:val="0"/>
        <w:keepLines w:val="0"/>
        <w:pageBreakBefore w:val="0"/>
        <w:widowControl w:val="0"/>
        <w:kinsoku/>
        <w:wordWrap/>
        <w:overflowPunct/>
        <w:topLinePunct w:val="0"/>
        <w:autoSpaceDE/>
        <w:autoSpaceDN/>
        <w:bidi w:val="0"/>
        <w:adjustRightInd/>
        <w:snapToGrid/>
        <w:spacing w:line="360" w:lineRule="auto"/>
        <w:ind w:firstLine="787" w:firstLineChars="200"/>
        <w:textAlignment w:val="auto"/>
        <w:rPr>
          <w:rFonts w:hint="eastAsia" w:ascii="仿宋" w:hAnsi="仿宋" w:eastAsia="仿宋" w:cs="仿宋"/>
          <w:sz w:val="32"/>
          <w:szCs w:val="32"/>
        </w:rPr>
      </w:pPr>
      <w:r>
        <w:rPr>
          <w:rFonts w:hint="eastAsia" w:ascii="仿宋" w:hAnsi="仿宋" w:eastAsia="仿宋" w:cs="仿宋"/>
          <w:b/>
          <w:bCs/>
          <w:spacing w:val="28"/>
          <w:w w:val="105"/>
          <w:sz w:val="32"/>
          <w:szCs w:val="32"/>
        </w:rPr>
        <w:t>（二）专项资金使用绩效</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（1）专项资金支出情况。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该项目已申请涉农资金预付款54.6万元，已支付资金5万元，已申请未支付49.6万元，支付率9.16%。</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资金管理、项目管理情况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2023年涉农资金下达</w:t>
      </w:r>
      <w:r>
        <w:rPr>
          <w:rFonts w:hint="eastAsia" w:ascii="仿宋_GB2312" w:eastAsia="仿宋_GB2312"/>
          <w:sz w:val="32"/>
          <w:szCs w:val="32"/>
          <w:lang w:val="en-US" w:eastAsia="zh-CN"/>
        </w:rPr>
        <w:t>174.3956</w:t>
      </w: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万元</w:t>
      </w:r>
      <w:r>
        <w:rPr>
          <w:rFonts w:hint="eastAsia" w:ascii="仿宋_GB2312" w:eastAsia="仿宋_GB2312"/>
          <w:color w:val="auto"/>
          <w:sz w:val="32"/>
          <w:szCs w:val="32"/>
          <w:lang w:eastAsia="zh-CN"/>
        </w:rPr>
        <w:t>（韶财农〔2022〕163 号）</w:t>
      </w: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截至目前为止到位资金合计为174.3956万元,资金全部用于资金全部用于韶关市曲江区小坑水库标准化管理达标建设项目。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　　</w:t>
      </w:r>
      <w:r>
        <w:rPr>
          <w:rFonts w:hint="default" w:ascii="仿宋_GB2312" w:hAnsi="仿宋_GB2312" w:eastAsia="仿宋_GB2312" w:cs="仿宋_GB2312"/>
          <w:b w:val="0"/>
          <w:bCs w:val="0"/>
          <w:i w:val="0"/>
          <w:iCs w:val="0"/>
          <w:caps w:val="0"/>
          <w:color w:val="333333"/>
          <w:spacing w:val="0"/>
          <w:sz w:val="32"/>
          <w:szCs w:val="32"/>
          <w:shd w:val="clear" w:fill="FFFFFF"/>
          <w:lang w:val="en-US" w:eastAsia="zh-CN"/>
        </w:rPr>
        <w:t>我单位对项目资金进行专款管理，做到专款专用，确保协调好项目的用款计划、用款进度、用款额度等，使项目的正常运作展开。</w:t>
      </w: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科学设置项目绩效</w:t>
      </w:r>
      <w:r>
        <w:rPr>
          <w:rFonts w:hint="default" w:ascii="仿宋_GB2312" w:hAnsi="仿宋_GB2312" w:eastAsia="仿宋_GB2312" w:cs="仿宋_GB2312"/>
          <w:b w:val="0"/>
          <w:bCs w:val="0"/>
          <w:i w:val="0"/>
          <w:iCs w:val="0"/>
          <w:caps w:val="0"/>
          <w:color w:val="333333"/>
          <w:spacing w:val="0"/>
          <w:sz w:val="32"/>
          <w:szCs w:val="32"/>
          <w:shd w:val="clear" w:fill="FFFFFF"/>
          <w:lang w:val="en-US" w:eastAsia="zh-CN"/>
        </w:rPr>
        <w:t>目标，</w:t>
      </w: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确保</w:t>
      </w:r>
      <w:r>
        <w:rPr>
          <w:rFonts w:hint="default" w:ascii="仿宋_GB2312" w:hAnsi="仿宋_GB2312" w:eastAsia="仿宋_GB2312" w:cs="仿宋_GB2312"/>
          <w:b w:val="0"/>
          <w:bCs w:val="0"/>
          <w:i w:val="0"/>
          <w:iCs w:val="0"/>
          <w:caps w:val="0"/>
          <w:color w:val="333333"/>
          <w:spacing w:val="0"/>
          <w:sz w:val="32"/>
          <w:szCs w:val="32"/>
          <w:shd w:val="clear" w:fill="FFFFFF"/>
          <w:lang w:val="en-US" w:eastAsia="zh-CN"/>
        </w:rPr>
        <w:t>各项符合相关规定。项目实施过程中，遵循先考察、调研，再根据我单位工作实际情况制定相应的措施。实现了项目管理与过程管理的有机结合。</w:t>
      </w: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同时</w:t>
      </w:r>
      <w:r>
        <w:rPr>
          <w:rFonts w:hint="default" w:ascii="仿宋_GB2312" w:hAnsi="仿宋_GB2312" w:eastAsia="仿宋_GB2312" w:cs="仿宋_GB2312"/>
          <w:b w:val="0"/>
          <w:bCs w:val="0"/>
          <w:i w:val="0"/>
          <w:iCs w:val="0"/>
          <w:caps w:val="0"/>
          <w:color w:val="333333"/>
          <w:spacing w:val="0"/>
          <w:sz w:val="32"/>
          <w:szCs w:val="32"/>
          <w:shd w:val="clear" w:fill="FFFFFF"/>
          <w:lang w:val="en-US" w:eastAsia="zh-CN"/>
        </w:rPr>
        <w:t>由主管局为监管部门，不定期对项目执行单位进度情况进行督导检查，对检查过程中发现的问题及时督促整改，确保项目按时保质完成。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kern w:val="2"/>
          <w:sz w:val="32"/>
          <w:szCs w:val="32"/>
          <w:shd w:val="clear" w:fill="FFFFFF"/>
          <w:lang w:val="en-US" w:eastAsia="zh-CN" w:bidi="ar-SA"/>
        </w:rPr>
        <w:t>（3）</w:t>
      </w: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专项资金完成绩效目标情况。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我单位积极协调施工方抓好施工进度，严格把好施工质量关，</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目前主体工程建设任务已基本完成，</w:t>
      </w: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完善各类制度，对水库大坝的渗流、垂直和水平移动进行实时监测，把灌区和库区视频监控整合形成统一管理大大提高了水库运行安全，保证下游人民生命财产安全，具有良好的社会效益，很好地完成了绩效目标。</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（4）专项资金分用途使用绩效。</w:t>
      </w:r>
    </w:p>
    <w:p>
      <w:pPr>
        <w:spacing w:line="520" w:lineRule="atLeast"/>
        <w:ind w:firstLine="720" w:firstLineChars="225"/>
        <w:rPr>
          <w:rFonts w:hint="eastAsia" w:ascii="仿宋_GB2312" w:eastAsia="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此次项目工程预算投入</w:t>
      </w:r>
      <w:r>
        <w:rPr>
          <w:rFonts w:hint="eastAsia" w:ascii="仿宋_GB2312" w:hAnsi="Times New Roman" w:eastAsia="仿宋_GB2312" w:cs="Times New Roman"/>
          <w:kern w:val="2"/>
          <w:sz w:val="32"/>
          <w:szCs w:val="32"/>
          <w:lang w:val="en-US" w:eastAsia="zh-CN" w:bidi="ar-SA"/>
        </w:rPr>
        <w:t>269.85</w:t>
      </w: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万元，实际投入174.3956万元，投入率65</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w:t>
      </w: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。在项目工程开展过程中，严格规范资金的使用，做到专款专用，规范支出。在整个项目实施的过程中，严格按预算控制成本，杜绝超预算支出。</w:t>
      </w:r>
      <w:r>
        <w:rPr>
          <w:rFonts w:hint="eastAsia" w:ascii="仿宋_GB2312" w:eastAsia="仿宋_GB2312"/>
          <w:sz w:val="32"/>
          <w:szCs w:val="32"/>
        </w:rPr>
        <w:t>韶关市曲江区小坑水库标准化管理达标建设项目</w:t>
      </w:r>
      <w:r>
        <w:rPr>
          <w:rFonts w:hint="eastAsia" w:ascii="仿宋_GB2312" w:eastAsia="仿宋_GB2312"/>
          <w:sz w:val="32"/>
          <w:szCs w:val="32"/>
          <w:lang w:eastAsia="zh-CN"/>
        </w:rPr>
        <w:t>完成后</w:t>
      </w:r>
      <w:r>
        <w:rPr>
          <w:rFonts w:hint="eastAsia" w:ascii="仿宋_GB2312" w:eastAsia="仿宋_GB2312"/>
          <w:sz w:val="32"/>
          <w:szCs w:val="32"/>
        </w:rPr>
        <w:t>，</w:t>
      </w:r>
      <w:r>
        <w:rPr>
          <w:rFonts w:hint="eastAsia" w:ascii="仿宋_GB2312" w:eastAsia="仿宋_GB2312"/>
          <w:sz w:val="32"/>
          <w:szCs w:val="32"/>
          <w:lang w:eastAsia="zh-CN"/>
        </w:rPr>
        <w:t>能够</w:t>
      </w:r>
      <w:r>
        <w:rPr>
          <w:rFonts w:hint="eastAsia" w:ascii="仿宋_GB2312" w:eastAsia="仿宋_GB2312"/>
          <w:sz w:val="32"/>
          <w:szCs w:val="32"/>
        </w:rPr>
        <w:t>全面提升水利工程管理水平保障工程运行安全和持续发挥效益</w:t>
      </w:r>
      <w:r>
        <w:rPr>
          <w:rFonts w:hint="eastAsia" w:ascii="仿宋_GB2312" w:eastAsia="仿宋_GB2312"/>
          <w:sz w:val="32"/>
          <w:szCs w:val="32"/>
          <w:lang w:eastAsia="zh-CN"/>
        </w:rPr>
        <w:t>，</w:t>
      </w:r>
      <w:r>
        <w:rPr>
          <w:rFonts w:hint="eastAsia" w:ascii="仿宋_GB2312" w:eastAsia="仿宋_GB2312"/>
          <w:sz w:val="32"/>
          <w:szCs w:val="32"/>
        </w:rPr>
        <w:t>为国民经济持续健康发展和社会稳定提供安全保障。</w:t>
      </w:r>
    </w:p>
    <w:p>
      <w:pPr>
        <w:keepNext w:val="0"/>
        <w:keepLines w:val="0"/>
        <w:pageBreakBefore w:val="0"/>
        <w:widowControl w:val="0"/>
        <w:kinsoku/>
        <w:wordWrap/>
        <w:overflowPunct/>
        <w:topLinePunct w:val="0"/>
        <w:autoSpaceDE/>
        <w:autoSpaceDN/>
        <w:bidi w:val="0"/>
        <w:adjustRightInd/>
        <w:snapToGrid/>
        <w:spacing w:line="360" w:lineRule="auto"/>
        <w:ind w:firstLine="791" w:firstLineChars="200"/>
        <w:textAlignment w:val="auto"/>
        <w:rPr>
          <w:rFonts w:hint="eastAsia" w:ascii="仿宋" w:hAnsi="仿宋" w:eastAsia="仿宋" w:cs="仿宋"/>
          <w:b/>
          <w:bCs/>
          <w:spacing w:val="26"/>
          <w:w w:val="107"/>
          <w:position w:val="27"/>
          <w:sz w:val="32"/>
          <w:szCs w:val="32"/>
        </w:rPr>
      </w:pPr>
      <w:r>
        <w:rPr>
          <w:rFonts w:hint="eastAsia" w:ascii="仿宋" w:hAnsi="仿宋" w:eastAsia="仿宋" w:cs="仿宋"/>
          <w:b/>
          <w:bCs/>
          <w:spacing w:val="26"/>
          <w:w w:val="107"/>
          <w:position w:val="27"/>
          <w:sz w:val="32"/>
          <w:szCs w:val="32"/>
        </w:rPr>
        <w:t>（三）专项资金使用绩效存在的问题</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涉农资金支付率低。</w:t>
      </w:r>
    </w:p>
    <w:p>
      <w:pPr>
        <w:keepNext w:val="0"/>
        <w:keepLines w:val="0"/>
        <w:pageBreakBefore w:val="0"/>
        <w:widowControl w:val="0"/>
        <w:kinsoku/>
        <w:wordWrap/>
        <w:overflowPunct/>
        <w:topLinePunct w:val="0"/>
        <w:autoSpaceDE/>
        <w:autoSpaceDN/>
        <w:bidi w:val="0"/>
        <w:adjustRightInd/>
        <w:snapToGrid/>
        <w:spacing w:line="360" w:lineRule="auto"/>
        <w:ind w:firstLine="583" w:firstLineChars="200"/>
        <w:textAlignment w:val="auto"/>
        <w:rPr>
          <w:rFonts w:hint="eastAsia" w:ascii="宋体" w:hAnsi="宋体" w:eastAsia="宋体" w:cs="宋体"/>
          <w:b/>
          <w:bCs/>
          <w:spacing w:val="-15"/>
          <w:sz w:val="32"/>
          <w:szCs w:val="32"/>
        </w:rPr>
      </w:pPr>
      <w:r>
        <w:rPr>
          <w:rFonts w:hint="eastAsia" w:ascii="宋体" w:hAnsi="宋体" w:eastAsia="宋体" w:cs="宋体"/>
          <w:b/>
          <w:bCs/>
          <w:spacing w:val="-15"/>
          <w:sz w:val="32"/>
          <w:szCs w:val="32"/>
        </w:rPr>
        <w:t>三、改进意见</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（一）加强与区财政相关部门沟通，加快资金支付</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（二）督促施工单位加强工程管理工作，加快工程顺利完工结算。</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right"/>
        <w:textAlignment w:val="auto"/>
        <w:rPr>
          <w:rFonts w:hint="default" w:ascii="仿宋_GB2312" w:hAnsi="仿宋_GB2312" w:eastAsia="仿宋_GB2312" w:cs="仿宋_GB2312"/>
          <w:b w:val="0"/>
          <w:bCs w:val="0"/>
          <w:i w:val="0"/>
          <w:iCs w:val="0"/>
          <w:caps w:val="0"/>
          <w:color w:val="333333"/>
          <w:spacing w:val="0"/>
          <w:sz w:val="32"/>
          <w:szCs w:val="32"/>
          <w:shd w:val="clear"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789C56"/>
    <w:multiLevelType w:val="singleLevel"/>
    <w:tmpl w:val="6E789C5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lYjk1YmM2MzU4N2QzNzEyZmIzZGZmM2FjYjcwOTAifQ=="/>
  </w:docVars>
  <w:rsids>
    <w:rsidRoot w:val="14A47411"/>
    <w:rsid w:val="01B24D5C"/>
    <w:rsid w:val="05780E32"/>
    <w:rsid w:val="0B066219"/>
    <w:rsid w:val="0F252FA5"/>
    <w:rsid w:val="0FC37BA1"/>
    <w:rsid w:val="13802C3D"/>
    <w:rsid w:val="13AD347F"/>
    <w:rsid w:val="14A47411"/>
    <w:rsid w:val="2A654741"/>
    <w:rsid w:val="2AE34BE1"/>
    <w:rsid w:val="2CD849D4"/>
    <w:rsid w:val="306B61B3"/>
    <w:rsid w:val="33A930DF"/>
    <w:rsid w:val="357B4713"/>
    <w:rsid w:val="35AF2FFA"/>
    <w:rsid w:val="37A709CB"/>
    <w:rsid w:val="3DBB238D"/>
    <w:rsid w:val="3E3D638D"/>
    <w:rsid w:val="404879D1"/>
    <w:rsid w:val="40D538A3"/>
    <w:rsid w:val="48966610"/>
    <w:rsid w:val="4D260B82"/>
    <w:rsid w:val="52144136"/>
    <w:rsid w:val="59243CAB"/>
    <w:rsid w:val="5C731DC0"/>
    <w:rsid w:val="609A2993"/>
    <w:rsid w:val="63D062E3"/>
    <w:rsid w:val="6D642308"/>
    <w:rsid w:val="6E84240F"/>
    <w:rsid w:val="71E754FA"/>
    <w:rsid w:val="7A10306F"/>
    <w:rsid w:val="7BFC01B5"/>
    <w:rsid w:val="7C2858FA"/>
    <w:rsid w:val="7E9B5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customStyle="1" w:styleId="2">
    <w:name w:val="Body Text First Indent 21"/>
    <w:basedOn w:val="3"/>
    <w:autoRedefine/>
    <w:qFormat/>
    <w:uiPriority w:val="0"/>
    <w:pPr>
      <w:widowControl w:val="0"/>
      <w:spacing w:line="360" w:lineRule="auto"/>
      <w:ind w:firstLine="480" w:firstLineChars="200"/>
      <w:jc w:val="both"/>
    </w:pPr>
    <w:rPr>
      <w:rFonts w:ascii="Times New Roman" w:hAnsi="Times New Roman" w:eastAsia="宋体" w:cs="Times New Roman"/>
      <w:sz w:val="24"/>
    </w:rPr>
  </w:style>
  <w:style w:type="paragraph" w:customStyle="1" w:styleId="3">
    <w:name w:val="Normal Indent1"/>
    <w:basedOn w:val="1"/>
    <w:autoRedefine/>
    <w:qFormat/>
    <w:uiPriority w:val="0"/>
    <w:pPr>
      <w:spacing w:line="360" w:lineRule="auto"/>
      <w:ind w:firstLine="200" w:firstLineChars="200"/>
    </w:pPr>
    <w:rPr>
      <w:rFonts w:ascii="Times New Roman" w:hAnsi="Times New Roman" w:eastAsia="宋体" w:cs="宋体"/>
      <w:sz w:val="24"/>
    </w:rPr>
  </w:style>
  <w:style w:type="paragraph" w:styleId="4">
    <w:name w:val="Normal Indent"/>
    <w:basedOn w:val="1"/>
    <w:autoRedefine/>
    <w:qFormat/>
    <w:uiPriority w:val="0"/>
    <w:pPr>
      <w:ind w:firstLine="420"/>
    </w:pPr>
    <w:rPr>
      <w:szCs w:val="20"/>
    </w:r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663</Words>
  <Characters>691</Characters>
  <Lines>0</Lines>
  <Paragraphs>0</Paragraphs>
  <TotalTime>2</TotalTime>
  <ScaleCrop>false</ScaleCrop>
  <LinksUpToDate>false</LinksUpToDate>
  <CharactersWithSpaces>691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2022-07-15T00:27:00Z</dcterms:created>
  <dc:creator>LG</dc:creator>
  <cp:lastModifiedBy>不渝_。</cp:lastModifiedBy>
  <dcterms:modified xsi:type="dcterms:W3CDTF">2024-05-06T01:14:29Z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70576A391FFE46A1B87DE5C97B6585EC_13</vt:lpwstr>
  </property>
</Properties>
</file>