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简体" w:hAnsi="方正小标宋简体" w:eastAsia="方正小标宋简体" w:cs="方正小标宋简体"/>
          <w:sz w:val="44"/>
          <w:szCs w:val="44"/>
        </w:rPr>
      </w:pPr>
      <w:bookmarkStart w:id="0" w:name="BOOK_导言市县"/>
    </w:p>
    <w:p>
      <w:pPr>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韶关市曲江区</w:t>
      </w:r>
      <w:bookmarkEnd w:id="0"/>
      <w:r>
        <w:rPr>
          <w:rFonts w:ascii="方正小标宋简体" w:hAnsi="方正小标宋简体" w:eastAsia="方正小标宋简体" w:cs="方正小标宋简体"/>
          <w:sz w:val="44"/>
          <w:szCs w:val="44"/>
        </w:rPr>
        <w:t>2023</w:t>
      </w:r>
      <w:r>
        <w:rPr>
          <w:rFonts w:hint="eastAsia" w:ascii="方正小标宋简体" w:hAnsi="方正小标宋简体" w:eastAsia="方正小标宋简体" w:cs="方正小标宋简体"/>
          <w:sz w:val="44"/>
          <w:szCs w:val="44"/>
        </w:rPr>
        <w:t>年度水利发展资金</w:t>
      </w:r>
    </w:p>
    <w:p>
      <w:pPr>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ascii="方正小标宋简体" w:hAnsi="方正小标宋简体" w:eastAsia="方正小标宋简体"/>
          <w:sz w:val="44"/>
          <w:szCs w:val="44"/>
        </w:rPr>
      </w:pPr>
      <w:r>
        <w:rPr>
          <w:rFonts w:hint="eastAsia" w:ascii="方正小标宋简体" w:hAnsi="方正小标宋简体" w:eastAsia="方正小标宋简体" w:cs="方正小标宋简体"/>
          <w:sz w:val="44"/>
          <w:szCs w:val="44"/>
        </w:rPr>
        <w:t>绩效自评报告</w:t>
      </w:r>
    </w:p>
    <w:p>
      <w:pPr>
        <w:pStyle w:val="17"/>
        <w:pageBreakBefore w:val="0"/>
        <w:widowControl w:val="0"/>
        <w:kinsoku/>
        <w:wordWrap/>
        <w:overflowPunct/>
        <w:topLinePunct w:val="0"/>
        <w:autoSpaceDE/>
        <w:autoSpaceDN/>
        <w:bidi w:val="0"/>
        <w:adjustRightInd/>
        <w:snapToGrid/>
        <w:spacing w:line="600" w:lineRule="exact"/>
        <w:ind w:firstLine="31680"/>
        <w:textAlignment w:val="auto"/>
        <w:rPr>
          <w:rFonts w:eastAsia="黑体"/>
          <w:b w:val="0"/>
          <w:bCs w:val="0"/>
          <w:sz w:val="32"/>
          <w:szCs w:val="32"/>
        </w:rPr>
      </w:pPr>
    </w:p>
    <w:p>
      <w:pPr>
        <w:pStyle w:val="17"/>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eastAsia="黑体" w:cs="黑体"/>
          <w:b w:val="0"/>
          <w:bCs w:val="0"/>
          <w:sz w:val="32"/>
          <w:szCs w:val="32"/>
        </w:rPr>
      </w:pPr>
      <w:r>
        <w:rPr>
          <w:rFonts w:hint="eastAsia" w:eastAsia="黑体" w:cs="黑体"/>
          <w:b w:val="0"/>
          <w:bCs w:val="0"/>
          <w:sz w:val="32"/>
          <w:szCs w:val="32"/>
        </w:rPr>
        <w:t>一、概述</w:t>
      </w:r>
    </w:p>
    <w:p>
      <w:pPr>
        <w:pStyle w:val="17"/>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eastAsia="楷体_GB2312"/>
          <w:b w:val="0"/>
          <w:bCs w:val="0"/>
          <w:sz w:val="32"/>
          <w:szCs w:val="32"/>
        </w:rPr>
      </w:pPr>
      <w:r>
        <w:rPr>
          <w:rFonts w:hint="eastAsia" w:eastAsia="楷体_GB2312" w:cs="楷体_GB2312"/>
          <w:b w:val="0"/>
          <w:bCs w:val="0"/>
          <w:sz w:val="32"/>
          <w:szCs w:val="32"/>
        </w:rPr>
        <w:t>（一）中央下达水利发展资金预算和绩效目标情况</w:t>
      </w:r>
    </w:p>
    <w:p>
      <w:pPr>
        <w:pageBreakBefore w:val="0"/>
        <w:widowControl w:val="0"/>
        <w:kinsoku/>
        <w:wordWrap/>
        <w:overflowPunct/>
        <w:topLinePunct w:val="0"/>
        <w:autoSpaceDE/>
        <w:autoSpaceDN/>
        <w:bidi w:val="0"/>
        <w:adjustRightInd/>
        <w:snapToGrid/>
        <w:spacing w:line="600" w:lineRule="exact"/>
        <w:ind w:firstLine="31680"/>
        <w:textAlignment w:val="auto"/>
        <w:rPr>
          <w:rFonts w:hint="eastAsia" w:ascii="仿宋_GB2312" w:hAnsi="仿宋_GB2312" w:cs="仿宋_GB2312"/>
          <w:sz w:val="32"/>
          <w:szCs w:val="32"/>
        </w:rPr>
      </w:pPr>
      <w:r>
        <w:rPr>
          <w:rFonts w:hint="eastAsia" w:ascii="仿宋_GB2312" w:hAnsi="仿宋_GB2312" w:cs="仿宋_GB2312"/>
          <w:sz w:val="32"/>
          <w:szCs w:val="32"/>
        </w:rPr>
        <w:t>根据《广东省财政厅关于提前下达</w:t>
      </w:r>
      <w:r>
        <w:rPr>
          <w:rFonts w:ascii="仿宋_GB2312" w:hAnsi="仿宋_GB2312" w:cs="仿宋_GB2312"/>
          <w:sz w:val="32"/>
          <w:szCs w:val="32"/>
        </w:rPr>
        <w:t>2023</w:t>
      </w:r>
      <w:r>
        <w:rPr>
          <w:rFonts w:hint="eastAsia" w:ascii="仿宋_GB2312" w:hAnsi="仿宋_GB2312" w:cs="仿宋_GB2312"/>
          <w:sz w:val="32"/>
          <w:szCs w:val="32"/>
        </w:rPr>
        <w:t>年中央水利发展资金预算的通知》（粤财农〔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169</w:t>
      </w:r>
      <w:r>
        <w:rPr>
          <w:rFonts w:hint="eastAsia" w:ascii="仿宋_GB2312" w:hAnsi="仿宋_GB2312" w:cs="仿宋_GB2312"/>
          <w:sz w:val="32"/>
          <w:szCs w:val="32"/>
        </w:rPr>
        <w:t>号）</w:t>
      </w:r>
      <w:r>
        <w:rPr>
          <w:rFonts w:hint="eastAsia" w:ascii="仿宋_GB2312" w:hAnsi="仿宋_GB2312" w:cs="仿宋_GB2312"/>
          <w:sz w:val="32"/>
          <w:szCs w:val="32"/>
          <w:lang w:eastAsia="zh-CN"/>
        </w:rPr>
        <w:t>及</w:t>
      </w:r>
      <w:r>
        <w:rPr>
          <w:rFonts w:hint="eastAsia" w:ascii="仿宋_GB2312" w:hAnsi="仿宋_GB2312" w:cs="仿宋_GB2312"/>
          <w:sz w:val="32"/>
          <w:szCs w:val="32"/>
        </w:rPr>
        <w:t>《关于提前下达</w:t>
      </w:r>
      <w:r>
        <w:rPr>
          <w:rFonts w:ascii="仿宋_GB2312" w:hAnsi="仿宋_GB2312" w:cs="仿宋_GB2312"/>
          <w:sz w:val="32"/>
          <w:szCs w:val="32"/>
        </w:rPr>
        <w:t>2023</w:t>
      </w:r>
      <w:r>
        <w:rPr>
          <w:rFonts w:hint="eastAsia" w:ascii="仿宋_GB2312" w:hAnsi="仿宋_GB2312" w:cs="仿宋_GB2312"/>
          <w:sz w:val="32"/>
          <w:szCs w:val="32"/>
        </w:rPr>
        <w:t>年中央水利发展资金的通知》（韶财农〔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158</w:t>
      </w:r>
      <w:r>
        <w:rPr>
          <w:rFonts w:hint="eastAsia" w:ascii="仿宋_GB2312" w:hAnsi="仿宋_GB2312" w:cs="仿宋_GB2312"/>
          <w:sz w:val="32"/>
          <w:szCs w:val="32"/>
        </w:rPr>
        <w:t>号）</w:t>
      </w:r>
      <w:r>
        <w:rPr>
          <w:rFonts w:hint="eastAsia" w:ascii="仿宋_GB2312" w:hAnsi="仿宋_GB2312" w:cs="仿宋_GB2312"/>
          <w:sz w:val="32"/>
          <w:szCs w:val="32"/>
          <w:lang w:eastAsia="zh-CN"/>
        </w:rPr>
        <w:t>文件</w:t>
      </w:r>
      <w:r>
        <w:rPr>
          <w:rFonts w:hint="eastAsia" w:ascii="仿宋_GB2312" w:hAnsi="仿宋_GB2312" w:cs="仿宋_GB2312"/>
          <w:sz w:val="32"/>
          <w:szCs w:val="32"/>
        </w:rPr>
        <w:t>，</w:t>
      </w:r>
      <w:r>
        <w:rPr>
          <w:rFonts w:ascii="仿宋_GB2312" w:hAnsi="仿宋_GB2312" w:cs="仿宋_GB2312"/>
          <w:sz w:val="32"/>
          <w:szCs w:val="32"/>
        </w:rPr>
        <w:t>2023</w:t>
      </w:r>
      <w:r>
        <w:rPr>
          <w:rFonts w:hint="eastAsia" w:ascii="仿宋_GB2312" w:hAnsi="仿宋_GB2312" w:cs="仿宋_GB2312"/>
          <w:sz w:val="32"/>
          <w:szCs w:val="32"/>
        </w:rPr>
        <w:t>年中央水利发展资金下达</w:t>
      </w:r>
      <w:bookmarkStart w:id="1" w:name="BOOK_一1市县"/>
      <w:r>
        <w:rPr>
          <w:rFonts w:hint="eastAsia" w:ascii="仿宋_GB2312" w:hAnsi="仿宋_GB2312" w:cs="仿宋_GB2312"/>
          <w:sz w:val="32"/>
          <w:szCs w:val="32"/>
        </w:rPr>
        <w:t>韶关市曲江区</w:t>
      </w:r>
      <w:bookmarkEnd w:id="1"/>
      <w:r>
        <w:rPr>
          <w:rFonts w:hint="eastAsia" w:ascii="仿宋_GB2312" w:hAnsi="仿宋_GB2312" w:cs="仿宋_GB2312"/>
          <w:sz w:val="32"/>
          <w:szCs w:val="32"/>
        </w:rPr>
        <w:t>的资金预算为</w:t>
      </w:r>
      <w:r>
        <w:rPr>
          <w:rFonts w:ascii="仿宋_GB2312" w:hAnsi="仿宋_GB2312" w:cs="仿宋_GB2312"/>
          <w:sz w:val="32"/>
          <w:szCs w:val="32"/>
        </w:rPr>
        <w:t>34</w:t>
      </w:r>
      <w:r>
        <w:rPr>
          <w:rFonts w:hint="eastAsia" w:ascii="仿宋_GB2312" w:hAnsi="仿宋_GB2312" w:cs="仿宋_GB2312"/>
          <w:sz w:val="32"/>
          <w:szCs w:val="32"/>
        </w:rPr>
        <w:t>万元。</w:t>
      </w:r>
      <w:bookmarkStart w:id="2" w:name="BOOK_一1市县2"/>
      <w:r>
        <w:rPr>
          <w:rFonts w:hint="eastAsia" w:ascii="仿宋_GB2312" w:hAnsi="仿宋_GB2312" w:cs="仿宋_GB2312"/>
          <w:sz w:val="32"/>
          <w:szCs w:val="32"/>
        </w:rPr>
        <w:t>韶关市曲江区</w:t>
      </w:r>
      <w:bookmarkEnd w:id="2"/>
      <w:r>
        <w:rPr>
          <w:rFonts w:hint="eastAsia" w:ascii="仿宋_GB2312" w:hAnsi="仿宋_GB2312" w:cs="仿宋_GB2312"/>
          <w:sz w:val="32"/>
          <w:szCs w:val="32"/>
        </w:rPr>
        <w:t>绩效目标为：新增农业水价综合改革面积</w:t>
      </w:r>
      <w:r>
        <w:rPr>
          <w:rFonts w:ascii="仿宋_GB2312" w:hAnsi="仿宋_GB2312" w:cs="仿宋_GB2312"/>
          <w:sz w:val="32"/>
          <w:szCs w:val="32"/>
        </w:rPr>
        <w:t>0.81</w:t>
      </w:r>
      <w:r>
        <w:rPr>
          <w:rFonts w:hint="eastAsia" w:ascii="仿宋_GB2312" w:hAnsi="仿宋_GB2312" w:cs="仿宋_GB2312"/>
          <w:sz w:val="32"/>
          <w:szCs w:val="32"/>
        </w:rPr>
        <w:t>万亩、小型水库工程维修养护座数</w:t>
      </w:r>
      <w:r>
        <w:rPr>
          <w:rFonts w:ascii="仿宋_GB2312" w:hAnsi="仿宋_GB2312" w:cs="仿宋_GB2312"/>
          <w:sz w:val="32"/>
          <w:szCs w:val="32"/>
        </w:rPr>
        <w:t>11</w:t>
      </w:r>
      <w:r>
        <w:rPr>
          <w:rFonts w:hint="eastAsia" w:ascii="仿宋_GB2312" w:hAnsi="仿宋_GB2312" w:cs="仿宋_GB2312"/>
          <w:sz w:val="32"/>
          <w:szCs w:val="32"/>
        </w:rPr>
        <w:t>座，其他水利工程设施维修养护覆盖服务人口</w:t>
      </w:r>
      <w:r>
        <w:rPr>
          <w:rFonts w:ascii="仿宋_GB2312" w:hAnsi="仿宋_GB2312" w:cs="仿宋_GB2312"/>
          <w:sz w:val="32"/>
          <w:szCs w:val="32"/>
        </w:rPr>
        <w:t>1.69</w:t>
      </w:r>
      <w:r>
        <w:rPr>
          <w:rFonts w:hint="eastAsia" w:ascii="仿宋_GB2312" w:hAnsi="仿宋_GB2312" w:cs="仿宋_GB2312"/>
          <w:sz w:val="32"/>
          <w:szCs w:val="32"/>
        </w:rPr>
        <w:t>万人。</w:t>
      </w:r>
    </w:p>
    <w:p>
      <w:pPr>
        <w:pageBreakBefore w:val="0"/>
        <w:widowControl w:val="0"/>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hint="eastAsia" w:ascii="仿宋_GB2312" w:hAnsi="仿宋_GB2312" w:cs="仿宋_GB2312"/>
          <w:sz w:val="32"/>
          <w:szCs w:val="32"/>
        </w:rPr>
        <w:t>根据《广东省财政厅关于进一步优化完善农业水价综合改革精准补贴和节水奖励机制有关工作的通知》（粤财农〔</w:t>
      </w:r>
      <w:r>
        <w:rPr>
          <w:rFonts w:ascii="仿宋_GB2312" w:hAnsi="仿宋_GB2312" w:cs="仿宋_GB2312"/>
          <w:sz w:val="32"/>
          <w:szCs w:val="32"/>
        </w:rPr>
        <w:t>2023</w:t>
      </w:r>
      <w:r>
        <w:rPr>
          <w:rFonts w:hint="eastAsia" w:ascii="仿宋_GB2312" w:hAnsi="仿宋_GB2312" w:cs="仿宋_GB2312"/>
          <w:sz w:val="32"/>
          <w:szCs w:val="32"/>
        </w:rPr>
        <w:t>〕</w:t>
      </w:r>
      <w:r>
        <w:rPr>
          <w:rFonts w:ascii="仿宋_GB2312" w:hAnsi="仿宋_GB2312" w:cs="仿宋_GB2312"/>
          <w:sz w:val="32"/>
          <w:szCs w:val="32"/>
        </w:rPr>
        <w:t>137</w:t>
      </w:r>
      <w:r>
        <w:rPr>
          <w:rFonts w:hint="eastAsia" w:ascii="仿宋_GB2312" w:hAnsi="仿宋_GB2312" w:cs="仿宋_GB2312"/>
          <w:sz w:val="32"/>
          <w:szCs w:val="32"/>
        </w:rPr>
        <w:t>号）精神，将中央资金农业水价综合改革</w:t>
      </w:r>
      <w:r>
        <w:rPr>
          <w:rFonts w:ascii="仿宋_GB2312" w:hAnsi="仿宋_GB2312" w:cs="仿宋_GB2312"/>
          <w:sz w:val="32"/>
          <w:szCs w:val="32"/>
        </w:rPr>
        <w:t>5</w:t>
      </w:r>
      <w:r>
        <w:rPr>
          <w:rFonts w:hint="eastAsia" w:ascii="仿宋_GB2312" w:hAnsi="仿宋_GB2312" w:cs="仿宋_GB2312"/>
          <w:sz w:val="32"/>
          <w:szCs w:val="32"/>
        </w:rPr>
        <w:t>万元（精准补贴和节水奖励）折算为水费用作罗坑水库灌区工程日常管护费用。</w:t>
      </w:r>
    </w:p>
    <w:p>
      <w:pPr>
        <w:pStyle w:val="18"/>
        <w:pageBreakBefore w:val="0"/>
        <w:widowControl w:val="0"/>
        <w:kinsoku/>
        <w:wordWrap/>
        <w:overflowPunct/>
        <w:topLinePunct w:val="0"/>
        <w:autoSpaceDE/>
        <w:autoSpaceDN/>
        <w:bidi w:val="0"/>
        <w:adjustRightInd/>
        <w:snapToGrid/>
        <w:spacing w:line="600" w:lineRule="exact"/>
        <w:ind w:firstLine="31680"/>
        <w:textAlignment w:val="auto"/>
        <w:rPr>
          <w:rFonts w:eastAsia="楷体_GB2312"/>
          <w:b w:val="0"/>
          <w:bCs w:val="0"/>
          <w:sz w:val="32"/>
          <w:szCs w:val="32"/>
        </w:rPr>
      </w:pPr>
      <w:r>
        <w:rPr>
          <w:rFonts w:hint="eastAsia" w:eastAsia="楷体_GB2312" w:cs="楷体_GB2312"/>
          <w:b w:val="0"/>
          <w:bCs w:val="0"/>
          <w:sz w:val="32"/>
          <w:szCs w:val="32"/>
        </w:rPr>
        <w:t>（二）预算和绩效目标分解情况</w:t>
      </w:r>
    </w:p>
    <w:p>
      <w:pPr>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2"/>
        <w:rPr>
          <w:rFonts w:ascii="仿宋_GB2312"/>
          <w:b/>
          <w:bCs/>
          <w:sz w:val="32"/>
          <w:szCs w:val="32"/>
        </w:rPr>
      </w:pPr>
      <w:r>
        <w:rPr>
          <w:rFonts w:ascii="仿宋_GB2312" w:hAnsi="仿宋_GB2312" w:cs="仿宋_GB2312"/>
          <w:b/>
          <w:bCs/>
          <w:sz w:val="32"/>
          <w:szCs w:val="32"/>
        </w:rPr>
        <w:t>1.</w:t>
      </w:r>
      <w:r>
        <w:rPr>
          <w:rFonts w:hint="eastAsia" w:ascii="仿宋_GB2312" w:hAnsi="仿宋_GB2312" w:cs="仿宋_GB2312"/>
          <w:b/>
          <w:bCs/>
          <w:sz w:val="32"/>
          <w:szCs w:val="32"/>
        </w:rPr>
        <w:t>资金分配情况</w:t>
      </w:r>
    </w:p>
    <w:p>
      <w:pPr>
        <w:pageBreakBefore w:val="0"/>
        <w:widowControl w:val="0"/>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hint="eastAsia" w:ascii="仿宋_GB2312" w:hAnsi="仿宋_GB2312" w:cs="仿宋_GB2312"/>
          <w:sz w:val="32"/>
          <w:szCs w:val="32"/>
        </w:rPr>
        <w:t>为全面落实开展预算绩效管理工作，规范政府部门财政支出预算绩效管理，</w:t>
      </w:r>
      <w:bookmarkStart w:id="3" w:name="BOOK_一2我县（市区）市本级"/>
      <w:r>
        <w:rPr>
          <w:rFonts w:hint="eastAsia" w:ascii="仿宋_GB2312" w:hAnsi="仿宋_GB2312" w:cs="仿宋_GB2312"/>
          <w:sz w:val="32"/>
          <w:szCs w:val="32"/>
        </w:rPr>
        <w:t>韶关市曲江区</w:t>
      </w:r>
      <w:bookmarkEnd w:id="3"/>
      <w:r>
        <w:rPr>
          <w:rFonts w:hint="eastAsia" w:ascii="仿宋_GB2312" w:hAnsi="仿宋_GB2312" w:cs="仿宋_GB2312"/>
          <w:sz w:val="32"/>
          <w:szCs w:val="32"/>
        </w:rPr>
        <w:t>制定的相关资金管理办法主要有：《韶关市曲江区人民政府关于印发韶关市曲江区区级重大政策和项目事前绩效评估管理办法的通知》（韶曲府〔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45</w:t>
      </w:r>
      <w:r>
        <w:rPr>
          <w:rFonts w:hint="eastAsia" w:ascii="仿宋_GB2312" w:hAnsi="仿宋_GB2312" w:cs="仿宋_GB2312"/>
          <w:sz w:val="32"/>
          <w:szCs w:val="32"/>
        </w:rPr>
        <w:t>号）、《韶关市曲江区人民政府关于印发韶关市曲江区政府投资工程建设项目管理办法的通知》（韶曲府〔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52</w:t>
      </w:r>
      <w:r>
        <w:rPr>
          <w:rFonts w:hint="eastAsia" w:ascii="仿宋_GB2312" w:hAnsi="仿宋_GB2312" w:cs="仿宋_GB2312"/>
          <w:sz w:val="32"/>
          <w:szCs w:val="32"/>
        </w:rPr>
        <w:t>号文）、《关于印发曲江区水务局水利工程建设管理办法的通知》（韶曲水〔</w:t>
      </w:r>
      <w:r>
        <w:rPr>
          <w:rFonts w:ascii="仿宋_GB2312" w:hAnsi="仿宋_GB2312" w:cs="仿宋_GB2312"/>
          <w:sz w:val="32"/>
          <w:szCs w:val="32"/>
        </w:rPr>
        <w:t>2020</w:t>
      </w:r>
      <w:r>
        <w:rPr>
          <w:rFonts w:hint="eastAsia" w:ascii="仿宋_GB2312" w:hAnsi="仿宋_GB2312" w:cs="仿宋_GB2312"/>
          <w:sz w:val="32"/>
          <w:szCs w:val="32"/>
        </w:rPr>
        <w:t>〕</w:t>
      </w:r>
      <w:r>
        <w:rPr>
          <w:rFonts w:ascii="仿宋_GB2312" w:hAnsi="仿宋_GB2312" w:cs="仿宋_GB2312"/>
          <w:sz w:val="32"/>
          <w:szCs w:val="32"/>
        </w:rPr>
        <w:t>75</w:t>
      </w:r>
      <w:r>
        <w:rPr>
          <w:rFonts w:hint="eastAsia" w:ascii="仿宋_GB2312" w:hAnsi="仿宋_GB2312" w:cs="仿宋_GB2312"/>
          <w:sz w:val="32"/>
          <w:szCs w:val="32"/>
        </w:rPr>
        <w:t>号）等文件。</w:t>
      </w:r>
    </w:p>
    <w:p>
      <w:pPr>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cs="仿宋_GB2312"/>
          <w:sz w:val="32"/>
          <w:szCs w:val="32"/>
        </w:rPr>
      </w:pPr>
      <w:r>
        <w:rPr>
          <w:rFonts w:hint="eastAsia" w:ascii="仿宋_GB2312" w:hAnsi="仿宋_GB2312" w:cs="仿宋_GB2312"/>
          <w:sz w:val="32"/>
          <w:szCs w:val="32"/>
        </w:rPr>
        <w:t>根据《广东省财政厅关于提前下达</w:t>
      </w:r>
      <w:r>
        <w:rPr>
          <w:rFonts w:ascii="仿宋_GB2312" w:hAnsi="仿宋_GB2312" w:cs="仿宋_GB2312"/>
          <w:sz w:val="32"/>
          <w:szCs w:val="32"/>
        </w:rPr>
        <w:t>2023</w:t>
      </w:r>
      <w:r>
        <w:rPr>
          <w:rFonts w:hint="eastAsia" w:ascii="仿宋_GB2312" w:hAnsi="仿宋_GB2312" w:cs="仿宋_GB2312"/>
          <w:sz w:val="32"/>
          <w:szCs w:val="32"/>
        </w:rPr>
        <w:t>年中央水利发展资金预算的通知》（粤财农〔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169</w:t>
      </w:r>
      <w:r>
        <w:rPr>
          <w:rFonts w:hint="eastAsia" w:ascii="仿宋_GB2312" w:hAnsi="仿宋_GB2312" w:cs="仿宋_GB2312"/>
          <w:sz w:val="32"/>
          <w:szCs w:val="32"/>
        </w:rPr>
        <w:t>号）、《关于提前下达</w:t>
      </w:r>
      <w:r>
        <w:rPr>
          <w:rFonts w:ascii="仿宋_GB2312" w:hAnsi="仿宋_GB2312" w:cs="仿宋_GB2312"/>
          <w:sz w:val="32"/>
          <w:szCs w:val="32"/>
        </w:rPr>
        <w:t>2023</w:t>
      </w:r>
      <w:r>
        <w:rPr>
          <w:rFonts w:hint="eastAsia" w:ascii="仿宋_GB2312" w:hAnsi="仿宋_GB2312" w:cs="仿宋_GB2312"/>
          <w:sz w:val="32"/>
          <w:szCs w:val="32"/>
        </w:rPr>
        <w:t>年中央水利发展资金的通知》（韶财农〔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158</w:t>
      </w:r>
      <w:r>
        <w:rPr>
          <w:rFonts w:hint="eastAsia" w:ascii="仿宋_GB2312" w:hAnsi="仿宋_GB2312" w:cs="仿宋_GB2312"/>
          <w:sz w:val="32"/>
          <w:szCs w:val="32"/>
        </w:rPr>
        <w:t>号），</w:t>
      </w:r>
      <w:r>
        <w:rPr>
          <w:rFonts w:ascii="仿宋_GB2312" w:hAnsi="仿宋_GB2312" w:cs="仿宋_GB2312"/>
          <w:sz w:val="32"/>
          <w:szCs w:val="32"/>
        </w:rPr>
        <w:t>2023</w:t>
      </w:r>
      <w:r>
        <w:rPr>
          <w:rFonts w:hint="eastAsia" w:ascii="仿宋_GB2312" w:hAnsi="仿宋_GB2312" w:cs="仿宋_GB2312"/>
          <w:sz w:val="32"/>
          <w:szCs w:val="32"/>
        </w:rPr>
        <w:t>年中央水利发展资金下达韶关市曲江区的资金预算为</w:t>
      </w:r>
      <w:r>
        <w:rPr>
          <w:rFonts w:ascii="仿宋_GB2312" w:hAnsi="仿宋_GB2312" w:cs="仿宋_GB2312"/>
          <w:sz w:val="32"/>
          <w:szCs w:val="32"/>
        </w:rPr>
        <w:t>34</w:t>
      </w:r>
      <w:r>
        <w:rPr>
          <w:rFonts w:hint="eastAsia" w:ascii="仿宋_GB2312" w:hAnsi="仿宋_GB2312" w:cs="仿宋_GB2312"/>
          <w:sz w:val="32"/>
          <w:szCs w:val="32"/>
        </w:rPr>
        <w:t>万元，资金支出类别为：小型水库工程设施维修养护</w:t>
      </w:r>
      <w:r>
        <w:rPr>
          <w:rFonts w:ascii="仿宋_GB2312" w:hAnsi="仿宋_GB2312" w:cs="仿宋_GB2312"/>
          <w:sz w:val="32"/>
          <w:szCs w:val="32"/>
        </w:rPr>
        <w:t>29</w:t>
      </w:r>
      <w:r>
        <w:rPr>
          <w:rFonts w:hint="eastAsia" w:ascii="仿宋_GB2312" w:hAnsi="仿宋_GB2312" w:cs="仿宋_GB2312"/>
          <w:sz w:val="32"/>
          <w:szCs w:val="32"/>
        </w:rPr>
        <w:t>万元、农业水价综合改革</w:t>
      </w:r>
      <w:r>
        <w:rPr>
          <w:rFonts w:ascii="仿宋_GB2312" w:hAnsi="仿宋_GB2312" w:cs="仿宋_GB2312"/>
          <w:sz w:val="32"/>
          <w:szCs w:val="32"/>
        </w:rPr>
        <w:t>5</w:t>
      </w:r>
      <w:r>
        <w:rPr>
          <w:rFonts w:hint="eastAsia" w:ascii="仿宋_GB2312" w:hAnsi="仿宋_GB2312" w:cs="仿宋_GB2312"/>
          <w:sz w:val="32"/>
          <w:szCs w:val="32"/>
        </w:rPr>
        <w:t>万元。</w:t>
      </w:r>
    </w:p>
    <w:p>
      <w:pPr>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cs="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预算和绩效目标省内分解下达情况</w:t>
      </w:r>
    </w:p>
    <w:p>
      <w:pPr>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2022年12月8日,</w:t>
      </w:r>
      <w:r>
        <w:rPr>
          <w:rFonts w:hint="eastAsia" w:ascii="仿宋_GB2312" w:hAnsi="仿宋_GB2312" w:eastAsia="仿宋_GB2312" w:cs="仿宋_GB2312"/>
          <w:sz w:val="32"/>
          <w:szCs w:val="32"/>
        </w:rPr>
        <w:t>《广东省财政厅关于提前下达2023年中央水利发展资金预算的通知》（粤财农〔2022〕169号）已将资金和绩效目标下达至韶关市本级。</w:t>
      </w:r>
    </w:p>
    <w:p>
      <w:pPr>
        <w:pageBreakBefore w:val="0"/>
        <w:widowControl w:val="0"/>
        <w:kinsoku/>
        <w:wordWrap/>
        <w:overflowPunct/>
        <w:topLinePunct w:val="0"/>
        <w:autoSpaceDE/>
        <w:autoSpaceDN/>
        <w:bidi w:val="0"/>
        <w:adjustRightInd/>
        <w:snapToGrid/>
        <w:spacing w:line="600" w:lineRule="exact"/>
        <w:ind w:firstLine="3168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2022年12月15日，</w:t>
      </w:r>
      <w:r>
        <w:rPr>
          <w:rFonts w:hint="eastAsia" w:ascii="仿宋_GB2312" w:hAnsi="仿宋_GB2312" w:eastAsia="仿宋_GB2312" w:cs="仿宋_GB2312"/>
          <w:sz w:val="32"/>
          <w:szCs w:val="32"/>
        </w:rPr>
        <w:t>《关于提前下达2023年中央水利发展资金的通知》（韶财农〔2022〕158号）已将资金和绩效目标下达至韶关市曲江区。</w:t>
      </w:r>
    </w:p>
    <w:p>
      <w:pPr>
        <w:pageBreakBefore w:val="0"/>
        <w:widowControl w:val="0"/>
        <w:kinsoku/>
        <w:wordWrap/>
        <w:overflowPunct/>
        <w:topLinePunct w:val="0"/>
        <w:autoSpaceDE/>
        <w:autoSpaceDN/>
        <w:bidi w:val="0"/>
        <w:adjustRightInd/>
        <w:snapToGrid/>
        <w:spacing w:line="600" w:lineRule="exact"/>
        <w:ind w:firstLine="3168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2022年12月30日</w:t>
      </w:r>
      <w:r>
        <w:rPr>
          <w:rFonts w:hint="eastAsia" w:ascii="仿宋_GB2312" w:hAnsi="仿宋_GB2312" w:eastAsia="仿宋_GB2312" w:cs="仿宋_GB2312"/>
          <w:sz w:val="32"/>
          <w:szCs w:val="32"/>
        </w:rPr>
        <w:t>，《关于提前下达2023年中央财政水利发展资金预算的通知》（韶曲财农〔2022〕82号）将资金和绩效目标进行进一步分解。各资金支出方向的下达金额见下表。</w:t>
      </w:r>
    </w:p>
    <w:p>
      <w:pPr>
        <w:pStyle w:val="2"/>
        <w:rPr>
          <w:rFonts w:hint="eastAsia"/>
        </w:rPr>
      </w:pPr>
    </w:p>
    <w:p>
      <w:pPr>
        <w:ind w:firstLine="301" w:firstLineChars="100"/>
        <w:jc w:val="both"/>
        <w:rPr>
          <w:rFonts w:ascii="仿宋_GB2312"/>
          <w:b/>
          <w:bCs/>
          <w:sz w:val="30"/>
          <w:szCs w:val="30"/>
        </w:rPr>
      </w:pPr>
      <w:r>
        <w:rPr>
          <w:rFonts w:hint="eastAsia" w:ascii="仿宋_GB2312" w:hAnsi="仿宋_GB2312" w:cs="仿宋_GB2312"/>
          <w:b/>
          <w:bCs/>
          <w:sz w:val="30"/>
          <w:szCs w:val="30"/>
        </w:rPr>
        <w:t>表</w:t>
      </w:r>
      <w:r>
        <w:rPr>
          <w:rFonts w:ascii="仿宋_GB2312" w:hAnsi="仿宋_GB2312" w:cs="仿宋_GB2312"/>
          <w:b/>
          <w:bCs/>
          <w:sz w:val="30"/>
          <w:szCs w:val="30"/>
        </w:rPr>
        <w:t xml:space="preserve">1 </w:t>
      </w:r>
      <w:r>
        <w:rPr>
          <w:rFonts w:hint="eastAsia" w:ascii="仿宋_GB2312" w:hAnsi="仿宋_GB2312" w:cs="仿宋_GB2312"/>
          <w:b/>
          <w:bCs/>
          <w:sz w:val="30"/>
          <w:szCs w:val="30"/>
          <w:lang w:val="en-US" w:eastAsia="zh-CN"/>
        </w:rPr>
        <w:t xml:space="preserve"> </w:t>
      </w:r>
      <w:r>
        <w:rPr>
          <w:rFonts w:hint="eastAsia" w:ascii="仿宋_GB2312" w:hAnsi="仿宋_GB2312" w:cs="仿宋_GB2312"/>
          <w:b/>
          <w:bCs/>
          <w:sz w:val="30"/>
          <w:szCs w:val="30"/>
        </w:rPr>
        <w:t>韶关市曲江区</w:t>
      </w:r>
      <w:r>
        <w:rPr>
          <w:rFonts w:ascii="仿宋_GB2312" w:hAnsi="仿宋_GB2312" w:cs="仿宋_GB2312"/>
          <w:b/>
          <w:bCs/>
          <w:sz w:val="30"/>
          <w:szCs w:val="30"/>
        </w:rPr>
        <w:t>2023</w:t>
      </w:r>
      <w:r>
        <w:rPr>
          <w:rFonts w:hint="eastAsia" w:ascii="仿宋_GB2312" w:hAnsi="仿宋_GB2312" w:cs="仿宋_GB2312"/>
          <w:b/>
          <w:bCs/>
          <w:sz w:val="30"/>
          <w:szCs w:val="30"/>
        </w:rPr>
        <w:t>年度中央水利发展资金分解下达统计表</w:t>
      </w:r>
    </w:p>
    <w:tbl>
      <w:tblPr>
        <w:tblStyle w:val="8"/>
        <w:tblW w:w="46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4398"/>
        <w:gridCol w:w="1985"/>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60" w:type="pct"/>
            <w:vAlign w:val="center"/>
          </w:tcPr>
          <w:p>
            <w:pPr>
              <w:pStyle w:val="19"/>
              <w:spacing w:after="0" w:line="240" w:lineRule="auto"/>
              <w:jc w:val="center"/>
              <w:rPr>
                <w:rFonts w:ascii="Times New Roman" w:hAnsi="Times New Roman" w:eastAsia="仿宋_GB2312" w:cs="Times New Roman"/>
                <w:color w:val="auto"/>
                <w:kern w:val="2"/>
                <w:sz w:val="24"/>
                <w:szCs w:val="24"/>
              </w:rPr>
            </w:pPr>
            <w:r>
              <w:rPr>
                <w:rFonts w:hint="eastAsia" w:ascii="Times New Roman" w:hAnsi="Times New Roman" w:eastAsia="仿宋_GB2312" w:cs="仿宋_GB2312"/>
                <w:color w:val="auto"/>
                <w:kern w:val="2"/>
                <w:sz w:val="24"/>
                <w:szCs w:val="24"/>
              </w:rPr>
              <w:t>序号</w:t>
            </w:r>
          </w:p>
        </w:tc>
        <w:tc>
          <w:tcPr>
            <w:tcW w:w="2574" w:type="pct"/>
            <w:vAlign w:val="center"/>
          </w:tcPr>
          <w:p>
            <w:pPr>
              <w:pStyle w:val="19"/>
              <w:spacing w:after="0" w:line="240" w:lineRule="auto"/>
              <w:jc w:val="center"/>
              <w:rPr>
                <w:rFonts w:ascii="Times New Roman" w:hAnsi="Times New Roman" w:eastAsia="仿宋_GB2312" w:cs="Times New Roman"/>
                <w:color w:val="auto"/>
                <w:kern w:val="2"/>
                <w:sz w:val="24"/>
                <w:szCs w:val="24"/>
              </w:rPr>
            </w:pPr>
            <w:r>
              <w:rPr>
                <w:rFonts w:hint="eastAsia" w:ascii="Times New Roman" w:hAnsi="Times New Roman" w:eastAsia="仿宋_GB2312" w:cs="仿宋_GB2312"/>
                <w:color w:val="auto"/>
                <w:kern w:val="2"/>
                <w:sz w:val="24"/>
                <w:szCs w:val="24"/>
              </w:rPr>
              <w:t>资金支出方向</w:t>
            </w:r>
          </w:p>
        </w:tc>
        <w:tc>
          <w:tcPr>
            <w:tcW w:w="1162" w:type="pct"/>
            <w:vAlign w:val="center"/>
          </w:tcPr>
          <w:p>
            <w:pPr>
              <w:pStyle w:val="19"/>
              <w:spacing w:after="0" w:line="240" w:lineRule="auto"/>
              <w:jc w:val="center"/>
              <w:rPr>
                <w:rFonts w:ascii="Times New Roman" w:hAnsi="Times New Roman" w:eastAsia="仿宋_GB2312" w:cs="Times New Roman"/>
                <w:color w:val="auto"/>
                <w:kern w:val="2"/>
                <w:sz w:val="24"/>
                <w:szCs w:val="24"/>
              </w:rPr>
            </w:pPr>
            <w:r>
              <w:rPr>
                <w:rFonts w:hint="eastAsia" w:ascii="Times New Roman" w:hAnsi="Times New Roman" w:eastAsia="仿宋_GB2312" w:cs="仿宋_GB2312"/>
                <w:color w:val="auto"/>
                <w:kern w:val="2"/>
                <w:sz w:val="24"/>
                <w:szCs w:val="24"/>
              </w:rPr>
              <w:t>金额（万元）</w:t>
            </w:r>
          </w:p>
        </w:tc>
        <w:tc>
          <w:tcPr>
            <w:tcW w:w="703" w:type="pct"/>
            <w:vAlign w:val="center"/>
          </w:tcPr>
          <w:p>
            <w:pPr>
              <w:pStyle w:val="19"/>
              <w:spacing w:after="0" w:line="240" w:lineRule="auto"/>
              <w:jc w:val="center"/>
              <w:rPr>
                <w:rFonts w:ascii="Times New Roman" w:hAnsi="Times New Roman" w:eastAsia="仿宋_GB2312" w:cs="Times New Roman"/>
                <w:color w:val="auto"/>
                <w:kern w:val="2"/>
                <w:sz w:val="24"/>
                <w:szCs w:val="24"/>
              </w:rPr>
            </w:pPr>
            <w:r>
              <w:rPr>
                <w:rFonts w:hint="eastAsia" w:ascii="Times New Roman" w:hAnsi="Times New Roman" w:eastAsia="仿宋_GB2312" w:cs="仿宋_GB2312"/>
                <w:color w:val="auto"/>
                <w:kern w:val="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ind w:firstLine="0" w:firstLineChars="0"/>
              <w:jc w:val="center"/>
              <w:rPr>
                <w:sz w:val="24"/>
                <w:szCs w:val="24"/>
              </w:rPr>
            </w:pPr>
            <w:r>
              <w:rPr>
                <w:rFonts w:ascii="仿宋_GB2312" w:hAnsi="仿宋_GB2312" w:cs="仿宋_GB2312"/>
                <w:sz w:val="24"/>
                <w:szCs w:val="24"/>
              </w:rPr>
              <w:t>1</w:t>
            </w:r>
          </w:p>
        </w:tc>
        <w:tc>
          <w:tcPr>
            <w:tcW w:w="0" w:type="auto"/>
          </w:tcPr>
          <w:p>
            <w:pPr>
              <w:ind w:firstLine="0" w:firstLineChars="0"/>
              <w:jc w:val="center"/>
              <w:rPr>
                <w:sz w:val="24"/>
                <w:szCs w:val="24"/>
              </w:rPr>
            </w:pPr>
            <w:r>
              <w:rPr>
                <w:rFonts w:hint="eastAsia" w:ascii="仿宋_GB2312" w:hAnsi="仿宋_GB2312" w:cs="仿宋_GB2312"/>
                <w:sz w:val="24"/>
                <w:szCs w:val="24"/>
              </w:rPr>
              <w:t>小型水库工程设施维修养护</w:t>
            </w:r>
          </w:p>
        </w:tc>
        <w:tc>
          <w:tcPr>
            <w:tcW w:w="0" w:type="auto"/>
          </w:tcPr>
          <w:p>
            <w:pPr>
              <w:ind w:firstLine="0" w:firstLineChars="0"/>
              <w:jc w:val="center"/>
              <w:rPr>
                <w:sz w:val="24"/>
                <w:szCs w:val="24"/>
              </w:rPr>
            </w:pPr>
            <w:r>
              <w:rPr>
                <w:rFonts w:ascii="仿宋_GB2312" w:hAnsi="仿宋_GB2312" w:cs="仿宋_GB2312"/>
                <w:sz w:val="24"/>
                <w:szCs w:val="24"/>
              </w:rPr>
              <w:t>29</w:t>
            </w:r>
          </w:p>
        </w:tc>
        <w:tc>
          <w:tcPr>
            <w:tcW w:w="0" w:type="auto"/>
          </w:tcPr>
          <w:p>
            <w:pPr>
              <w:ind w:firstLine="0" w:firstLineChars="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ind w:firstLine="0" w:firstLineChars="0"/>
              <w:jc w:val="center"/>
              <w:rPr>
                <w:sz w:val="24"/>
                <w:szCs w:val="24"/>
              </w:rPr>
            </w:pPr>
            <w:r>
              <w:rPr>
                <w:rFonts w:ascii="仿宋_GB2312" w:hAnsi="仿宋_GB2312" w:cs="仿宋_GB2312"/>
                <w:sz w:val="24"/>
                <w:szCs w:val="24"/>
              </w:rPr>
              <w:t>2</w:t>
            </w:r>
          </w:p>
        </w:tc>
        <w:tc>
          <w:tcPr>
            <w:tcW w:w="0" w:type="auto"/>
          </w:tcPr>
          <w:p>
            <w:pPr>
              <w:ind w:firstLine="0" w:firstLineChars="0"/>
              <w:jc w:val="center"/>
              <w:rPr>
                <w:sz w:val="24"/>
                <w:szCs w:val="24"/>
              </w:rPr>
            </w:pPr>
            <w:r>
              <w:rPr>
                <w:rFonts w:hint="eastAsia" w:ascii="仿宋_GB2312" w:hAnsi="仿宋_GB2312" w:cs="仿宋_GB2312"/>
                <w:sz w:val="24"/>
                <w:szCs w:val="24"/>
              </w:rPr>
              <w:t>农业水价综合改革</w:t>
            </w:r>
          </w:p>
        </w:tc>
        <w:tc>
          <w:tcPr>
            <w:tcW w:w="0" w:type="auto"/>
          </w:tcPr>
          <w:p>
            <w:pPr>
              <w:ind w:firstLine="0" w:firstLineChars="0"/>
              <w:jc w:val="center"/>
              <w:rPr>
                <w:sz w:val="24"/>
                <w:szCs w:val="24"/>
              </w:rPr>
            </w:pPr>
            <w:r>
              <w:rPr>
                <w:rFonts w:ascii="仿宋_GB2312" w:hAnsi="仿宋_GB2312" w:cs="仿宋_GB2312"/>
                <w:sz w:val="24"/>
                <w:szCs w:val="24"/>
              </w:rPr>
              <w:t>5</w:t>
            </w:r>
          </w:p>
        </w:tc>
        <w:tc>
          <w:tcPr>
            <w:tcW w:w="0" w:type="auto"/>
          </w:tcPr>
          <w:p>
            <w:pPr>
              <w:ind w:firstLine="0" w:firstLineChars="0"/>
              <w:jc w:val="left"/>
              <w:rPr>
                <w:sz w:val="24"/>
                <w:szCs w:val="24"/>
                <w:highlight w:val="yellow"/>
              </w:rPr>
            </w:pPr>
          </w:p>
        </w:tc>
      </w:tr>
    </w:tbl>
    <w:p>
      <w:pPr>
        <w:spacing w:line="240" w:lineRule="auto"/>
        <w:ind w:firstLine="480" w:firstLineChars="200"/>
        <w:rPr>
          <w:rFonts w:hint="eastAsia" w:cs="仿宋_GB2312"/>
          <w:sz w:val="24"/>
          <w:szCs w:val="24"/>
        </w:rPr>
      </w:pPr>
      <w:r>
        <w:rPr>
          <w:rFonts w:hint="eastAsia" w:cs="仿宋_GB2312"/>
          <w:sz w:val="24"/>
          <w:szCs w:val="24"/>
        </w:rPr>
        <w:t>备注：资金支出方向为：流域面积</w:t>
      </w:r>
      <w:r>
        <w:rPr>
          <w:sz w:val="24"/>
          <w:szCs w:val="24"/>
        </w:rPr>
        <w:t>200-3000</w:t>
      </w:r>
      <w:r>
        <w:rPr>
          <w:rFonts w:hint="eastAsia" w:cs="仿宋_GB2312"/>
          <w:sz w:val="24"/>
          <w:szCs w:val="24"/>
        </w:rPr>
        <w:t>平方公里中小河流治理、小型水库除险加固、小型水库监测能力提升、山洪灾害防治、山洪沟治理、农村饮水工程维修养护、山洪灾害防治非工程措施设施维修养护、小型水库工程设施维修养护、小型水库建设、中型灌区节水配套改造、农业水价综合改革、水资源管理，节水补助、水土流失综合治理、幸福河湖建设、河湖长制国务院激励、水系连通及水美乡村建设试点县。</w:t>
      </w:r>
    </w:p>
    <w:p>
      <w:pPr>
        <w:keepNext w:val="0"/>
        <w:keepLines w:val="0"/>
        <w:pageBreakBefore w:val="0"/>
        <w:widowControl w:val="0"/>
        <w:kinsoku/>
        <w:wordWrap/>
        <w:overflowPunct/>
        <w:topLinePunct w:val="0"/>
        <w:autoSpaceDE/>
        <w:autoSpaceDN/>
        <w:bidi w:val="0"/>
        <w:adjustRightInd/>
        <w:snapToGrid/>
        <w:spacing w:line="200" w:lineRule="exact"/>
        <w:ind w:firstLine="31680"/>
        <w:textAlignment w:val="auto"/>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adjustRightInd/>
        <w:snapToGrid/>
        <w:spacing w:line="600" w:lineRule="exact"/>
        <w:ind w:firstLine="316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东省财政厅关于进一步优化完善农业水价综合改革精准补贴和节水奖励机制有关工作的通知》（粤财农〔2023〕137号）精神，将中央资金农业水价综合改革5万元（精准补贴和节水奖励）折算为水费用作罗坑水库灌区工程日常管护费用。</w:t>
      </w:r>
    </w:p>
    <w:p>
      <w:pPr>
        <w:pageBreakBefore w:val="0"/>
        <w:widowControl w:val="0"/>
        <w:kinsoku/>
        <w:wordWrap/>
        <w:overflowPunct/>
        <w:topLinePunct w:val="0"/>
        <w:autoSpaceDE/>
        <w:autoSpaceDN/>
        <w:bidi w:val="0"/>
        <w:adjustRightInd/>
        <w:snapToGrid/>
        <w:spacing w:line="600" w:lineRule="exact"/>
        <w:ind w:firstLine="316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提前下达2023年中央水利发展资金的通知》（韶财农〔2022〕158号）、《韶关市水务局关于下达调整后的2023年中央财政水利发展资金绩效目标的通知》（韶水规划财审〔2024〕9号）绩效目标为：新增农业水价综合改革面积0.81万亩、小型水库工程维修养护座数11座、其他水利工程设施维修养护覆盖服务人口1.69万人。</w:t>
      </w:r>
    </w:p>
    <w:p>
      <w:pPr>
        <w:pStyle w:val="18"/>
        <w:pageBreakBefore w:val="0"/>
        <w:widowControl w:val="0"/>
        <w:kinsoku/>
        <w:wordWrap/>
        <w:overflowPunct/>
        <w:topLinePunct w:val="0"/>
        <w:autoSpaceDE/>
        <w:autoSpaceDN/>
        <w:bidi w:val="0"/>
        <w:adjustRightInd/>
        <w:snapToGrid/>
        <w:spacing w:line="600" w:lineRule="exact"/>
        <w:ind w:firstLine="31680"/>
        <w:textAlignment w:val="auto"/>
        <w:rPr>
          <w:rFonts w:eastAsia="楷体_GB2312"/>
          <w:b w:val="0"/>
          <w:bCs w:val="0"/>
          <w:sz w:val="32"/>
          <w:szCs w:val="32"/>
        </w:rPr>
      </w:pPr>
      <w:r>
        <w:rPr>
          <w:rFonts w:hint="eastAsia" w:eastAsia="楷体_GB2312" w:cs="楷体_GB2312"/>
          <w:b w:val="0"/>
          <w:bCs w:val="0"/>
          <w:sz w:val="32"/>
          <w:szCs w:val="32"/>
        </w:rPr>
        <w:t>（三）实施项目情况</w:t>
      </w:r>
    </w:p>
    <w:p>
      <w:pPr>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w:t>
      </w:r>
      <w:bookmarkStart w:id="4" w:name="BOOK_一3我县（市、区）市本级"/>
      <w:r>
        <w:rPr>
          <w:rFonts w:hint="eastAsia" w:ascii="仿宋_GB2312" w:hAnsi="仿宋_GB2312" w:cs="仿宋_GB2312"/>
          <w:sz w:val="32"/>
          <w:szCs w:val="32"/>
        </w:rPr>
        <w:t>韶关市曲江区</w:t>
      </w:r>
      <w:bookmarkEnd w:id="4"/>
      <w:r>
        <w:rPr>
          <w:rFonts w:hint="eastAsia" w:ascii="仿宋_GB2312" w:hAnsi="仿宋_GB2312" w:cs="仿宋_GB2312"/>
          <w:sz w:val="32"/>
          <w:szCs w:val="32"/>
        </w:rPr>
        <w:t>中央水利发展资金实施项目为</w:t>
      </w:r>
      <w:r>
        <w:rPr>
          <w:rFonts w:ascii="仿宋_GB2312" w:hAnsi="仿宋_GB2312" w:cs="仿宋_GB2312"/>
          <w:sz w:val="32"/>
          <w:szCs w:val="32"/>
        </w:rPr>
        <w:t>2</w:t>
      </w:r>
      <w:r>
        <w:rPr>
          <w:rFonts w:hint="eastAsia" w:ascii="仿宋_GB2312" w:hAnsi="仿宋_GB2312" w:cs="仿宋_GB2312"/>
          <w:sz w:val="32"/>
          <w:szCs w:val="32"/>
        </w:rPr>
        <w:t>宗，即</w:t>
      </w:r>
      <w:r>
        <w:rPr>
          <w:rFonts w:ascii="仿宋_GB2312" w:hAnsi="仿宋_GB2312" w:cs="仿宋_GB2312"/>
          <w:sz w:val="32"/>
          <w:szCs w:val="32"/>
        </w:rPr>
        <w:t>2023</w:t>
      </w:r>
      <w:r>
        <w:rPr>
          <w:rFonts w:hint="eastAsia" w:ascii="仿宋_GB2312" w:hAnsi="仿宋_GB2312" w:cs="仿宋_GB2312"/>
          <w:sz w:val="32"/>
          <w:szCs w:val="32"/>
        </w:rPr>
        <w:t>年曲江区小型水库工程设施维修养护，</w:t>
      </w:r>
      <w:r>
        <w:rPr>
          <w:rFonts w:ascii="仿宋_GB2312" w:hAnsi="仿宋_GB2312" w:cs="仿宋_GB2312"/>
          <w:sz w:val="32"/>
          <w:szCs w:val="32"/>
        </w:rPr>
        <w:t>2023</w:t>
      </w:r>
      <w:r>
        <w:rPr>
          <w:rFonts w:hint="eastAsia" w:ascii="仿宋_GB2312" w:hAnsi="仿宋_GB2312" w:cs="仿宋_GB2312"/>
          <w:sz w:val="32"/>
          <w:szCs w:val="32"/>
        </w:rPr>
        <w:t>年曲江区农业水价综合改革。</w:t>
      </w:r>
    </w:p>
    <w:p>
      <w:pPr>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cs="仿宋_GB2312"/>
          <w:sz w:val="32"/>
          <w:szCs w:val="32"/>
        </w:rPr>
      </w:pPr>
      <w:r>
        <w:rPr>
          <w:rFonts w:ascii="仿宋_GB2312" w:hAnsi="仿宋_GB2312" w:cs="仿宋_GB2312"/>
          <w:sz w:val="32"/>
          <w:szCs w:val="32"/>
        </w:rPr>
        <w:t>1.2023</w:t>
      </w:r>
      <w:r>
        <w:rPr>
          <w:rFonts w:hint="eastAsia" w:ascii="仿宋_GB2312" w:hAnsi="仿宋_GB2312" w:cs="仿宋_GB2312"/>
          <w:sz w:val="32"/>
          <w:szCs w:val="32"/>
        </w:rPr>
        <w:t>年曲江区小型水库工程设施维修养护：下达中央资金</w:t>
      </w:r>
      <w:r>
        <w:rPr>
          <w:rFonts w:ascii="仿宋_GB2312" w:hAnsi="仿宋_GB2312" w:cs="仿宋_GB2312"/>
          <w:sz w:val="32"/>
          <w:szCs w:val="32"/>
        </w:rPr>
        <w:t>29</w:t>
      </w:r>
      <w:r>
        <w:rPr>
          <w:rFonts w:hint="eastAsia" w:ascii="仿宋_GB2312" w:hAnsi="仿宋_GB2312" w:cs="仿宋_GB2312"/>
          <w:sz w:val="32"/>
          <w:szCs w:val="32"/>
        </w:rPr>
        <w:t>万元，</w:t>
      </w:r>
      <w:r>
        <w:rPr>
          <w:rFonts w:ascii="仿宋_GB2312" w:hAnsi="仿宋_GB2312" w:cs="仿宋_GB2312"/>
          <w:sz w:val="32"/>
          <w:szCs w:val="32"/>
        </w:rPr>
        <w:t>2023</w:t>
      </w:r>
      <w:r>
        <w:rPr>
          <w:rFonts w:hint="eastAsia" w:ascii="仿宋_GB2312" w:hAnsi="仿宋_GB2312" w:cs="仿宋_GB2312"/>
          <w:sz w:val="32"/>
          <w:szCs w:val="32"/>
        </w:rPr>
        <w:t>年</w:t>
      </w:r>
      <w:r>
        <w:rPr>
          <w:rFonts w:ascii="仿宋_GB2312" w:hAnsi="仿宋_GB2312" w:cs="仿宋_GB2312"/>
          <w:sz w:val="32"/>
          <w:szCs w:val="32"/>
        </w:rPr>
        <w:t>9</w:t>
      </w:r>
      <w:r>
        <w:rPr>
          <w:rFonts w:hint="eastAsia" w:ascii="仿宋_GB2312" w:hAnsi="仿宋_GB2312" w:cs="仿宋_GB2312"/>
          <w:sz w:val="32"/>
          <w:szCs w:val="32"/>
        </w:rPr>
        <w:t>月</w:t>
      </w:r>
      <w:r>
        <w:rPr>
          <w:rFonts w:ascii="仿宋_GB2312" w:hAnsi="仿宋_GB2312" w:cs="仿宋_GB2312"/>
          <w:sz w:val="32"/>
          <w:szCs w:val="32"/>
        </w:rPr>
        <w:t>20</w:t>
      </w:r>
      <w:r>
        <w:rPr>
          <w:rFonts w:hint="eastAsia" w:ascii="仿宋_GB2312" w:hAnsi="仿宋_GB2312" w:cs="仿宋_GB2312"/>
          <w:sz w:val="32"/>
          <w:szCs w:val="32"/>
        </w:rPr>
        <w:t>日完工，</w:t>
      </w:r>
      <w:r>
        <w:rPr>
          <w:rFonts w:ascii="仿宋_GB2312" w:hAnsi="仿宋_GB2312" w:cs="仿宋_GB2312"/>
          <w:sz w:val="32"/>
          <w:szCs w:val="32"/>
        </w:rPr>
        <w:t>2023</w:t>
      </w:r>
      <w:r>
        <w:rPr>
          <w:rFonts w:hint="eastAsia" w:ascii="仿宋_GB2312" w:hAnsi="仿宋_GB2312" w:cs="仿宋_GB2312"/>
          <w:sz w:val="32"/>
          <w:szCs w:val="32"/>
        </w:rPr>
        <w:t>年</w:t>
      </w:r>
      <w:r>
        <w:rPr>
          <w:rFonts w:ascii="仿宋_GB2312" w:hAnsi="仿宋_GB2312" w:cs="仿宋_GB2312"/>
          <w:sz w:val="32"/>
          <w:szCs w:val="32"/>
        </w:rPr>
        <w:t>9</w:t>
      </w:r>
      <w:r>
        <w:rPr>
          <w:rFonts w:hint="eastAsia" w:ascii="仿宋_GB2312" w:hAnsi="仿宋_GB2312" w:cs="仿宋_GB2312"/>
          <w:sz w:val="32"/>
          <w:szCs w:val="32"/>
        </w:rPr>
        <w:t>月</w:t>
      </w:r>
      <w:r>
        <w:rPr>
          <w:rFonts w:ascii="仿宋_GB2312" w:hAnsi="仿宋_GB2312" w:cs="仿宋_GB2312"/>
          <w:sz w:val="32"/>
          <w:szCs w:val="32"/>
        </w:rPr>
        <w:t>27</w:t>
      </w:r>
      <w:r>
        <w:rPr>
          <w:rFonts w:hint="eastAsia" w:ascii="仿宋_GB2312" w:hAnsi="仿宋_GB2312" w:cs="仿宋_GB2312"/>
          <w:sz w:val="32"/>
          <w:szCs w:val="32"/>
        </w:rPr>
        <w:t>日完工验收。</w:t>
      </w:r>
    </w:p>
    <w:p>
      <w:pPr>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仿宋_GB2312"/>
          <w:sz w:val="32"/>
          <w:szCs w:val="32"/>
        </w:rPr>
      </w:pPr>
      <w:r>
        <w:rPr>
          <w:rFonts w:ascii="仿宋_GB2312" w:hAnsi="仿宋_GB2312" w:cs="仿宋_GB2312"/>
          <w:sz w:val="32"/>
          <w:szCs w:val="32"/>
        </w:rPr>
        <w:t>2.2023</w:t>
      </w:r>
      <w:r>
        <w:rPr>
          <w:rFonts w:hint="eastAsia" w:ascii="仿宋_GB2312" w:hAnsi="仿宋_GB2312" w:cs="仿宋_GB2312"/>
          <w:sz w:val="32"/>
          <w:szCs w:val="32"/>
        </w:rPr>
        <w:t>年曲江区农业水价综合改革：下达中央资金</w:t>
      </w:r>
      <w:r>
        <w:rPr>
          <w:rFonts w:ascii="仿宋_GB2312" w:hAnsi="仿宋_GB2312" w:cs="仿宋_GB2312"/>
          <w:sz w:val="32"/>
          <w:szCs w:val="32"/>
        </w:rPr>
        <w:t>5</w:t>
      </w:r>
      <w:r>
        <w:rPr>
          <w:rFonts w:hint="eastAsia" w:ascii="仿宋_GB2312" w:hAnsi="仿宋_GB2312" w:cs="仿宋_GB2312"/>
          <w:sz w:val="32"/>
          <w:szCs w:val="32"/>
        </w:rPr>
        <w:t>万元，</w:t>
      </w:r>
      <w:r>
        <w:rPr>
          <w:rFonts w:ascii="仿宋_GB2312" w:hAnsi="仿宋_GB2312" w:cs="仿宋_GB2312"/>
          <w:sz w:val="32"/>
          <w:szCs w:val="32"/>
        </w:rPr>
        <w:t>2023</w:t>
      </w:r>
      <w:r>
        <w:rPr>
          <w:rFonts w:hint="eastAsia" w:ascii="仿宋_GB2312" w:hAnsi="仿宋_GB2312" w:cs="仿宋_GB2312"/>
          <w:sz w:val="32"/>
          <w:szCs w:val="32"/>
        </w:rPr>
        <w:t>年</w:t>
      </w:r>
      <w:r>
        <w:rPr>
          <w:rFonts w:ascii="仿宋_GB2312" w:hAnsi="仿宋_GB2312" w:cs="仿宋_GB2312"/>
          <w:sz w:val="32"/>
          <w:szCs w:val="32"/>
        </w:rPr>
        <w:t>12</w:t>
      </w:r>
      <w:r>
        <w:rPr>
          <w:rFonts w:hint="eastAsia" w:ascii="仿宋_GB2312" w:hAnsi="仿宋_GB2312" w:cs="仿宋_GB2312"/>
          <w:sz w:val="32"/>
          <w:szCs w:val="32"/>
        </w:rPr>
        <w:t>月</w:t>
      </w:r>
      <w:r>
        <w:rPr>
          <w:rFonts w:ascii="仿宋_GB2312" w:hAnsi="仿宋_GB2312" w:cs="仿宋_GB2312"/>
          <w:sz w:val="32"/>
          <w:szCs w:val="32"/>
        </w:rPr>
        <w:t>31</w:t>
      </w:r>
      <w:r>
        <w:rPr>
          <w:rFonts w:hint="eastAsia" w:ascii="仿宋_GB2312" w:hAnsi="仿宋_GB2312" w:cs="仿宋_GB2312"/>
          <w:sz w:val="32"/>
          <w:szCs w:val="32"/>
        </w:rPr>
        <w:t>日完工，</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5</w:t>
      </w:r>
      <w:r>
        <w:rPr>
          <w:rFonts w:hint="eastAsia" w:ascii="仿宋_GB2312" w:hAnsi="仿宋_GB2312" w:cs="仿宋_GB2312"/>
          <w:sz w:val="32"/>
          <w:szCs w:val="32"/>
        </w:rPr>
        <w:t>月</w:t>
      </w:r>
      <w:r>
        <w:rPr>
          <w:rFonts w:ascii="仿宋_GB2312" w:hAnsi="仿宋_GB2312" w:cs="仿宋_GB2312"/>
          <w:sz w:val="32"/>
          <w:szCs w:val="32"/>
        </w:rPr>
        <w:t>24</w:t>
      </w:r>
      <w:r>
        <w:rPr>
          <w:rFonts w:hint="eastAsia" w:ascii="仿宋_GB2312" w:hAnsi="仿宋_GB2312" w:cs="仿宋_GB2312"/>
          <w:sz w:val="32"/>
          <w:szCs w:val="32"/>
        </w:rPr>
        <w:t>日完成验收。</w:t>
      </w:r>
    </w:p>
    <w:p>
      <w:pPr>
        <w:pStyle w:val="18"/>
        <w:keepLines w:val="0"/>
        <w:pageBreakBefore w:val="0"/>
        <w:widowControl w:val="0"/>
        <w:kinsoku/>
        <w:wordWrap/>
        <w:overflowPunct/>
        <w:topLinePunct w:val="0"/>
        <w:autoSpaceDE/>
        <w:autoSpaceDN/>
        <w:bidi w:val="0"/>
        <w:adjustRightInd/>
        <w:snapToGrid/>
        <w:spacing w:line="600" w:lineRule="exact"/>
        <w:ind w:left="0" w:firstLine="3168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（四）各级政府支出责任履行情况</w:t>
      </w:r>
    </w:p>
    <w:p>
      <w:pPr>
        <w:pStyle w:val="2"/>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年至</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6</w:t>
      </w:r>
      <w:r>
        <w:rPr>
          <w:rFonts w:hint="eastAsia" w:ascii="仿宋_GB2312" w:hAnsi="仿宋_GB2312" w:cs="仿宋_GB2312"/>
          <w:sz w:val="32"/>
          <w:szCs w:val="32"/>
        </w:rPr>
        <w:t>月，我</w:t>
      </w:r>
      <w:r>
        <w:rPr>
          <w:rFonts w:hint="eastAsia" w:ascii="仿宋_GB2312" w:hAnsi="仿宋_GB2312" w:cs="仿宋_GB2312"/>
          <w:sz w:val="32"/>
          <w:szCs w:val="32"/>
          <w:lang w:eastAsia="zh-CN"/>
        </w:rPr>
        <w:t>单位</w:t>
      </w:r>
      <w:r>
        <w:rPr>
          <w:rFonts w:hint="eastAsia" w:ascii="仿宋_GB2312" w:hAnsi="仿宋_GB2312" w:cs="仿宋_GB2312"/>
          <w:sz w:val="32"/>
          <w:szCs w:val="32"/>
        </w:rPr>
        <w:t>中央水利发展资金支出合计</w:t>
      </w:r>
      <w:r>
        <w:rPr>
          <w:rFonts w:ascii="仿宋_GB2312" w:hAnsi="仿宋_GB2312" w:cs="仿宋_GB2312"/>
          <w:sz w:val="32"/>
          <w:szCs w:val="32"/>
        </w:rPr>
        <w:t>12.16</w:t>
      </w:r>
      <w:r>
        <w:rPr>
          <w:rFonts w:hint="eastAsia" w:ascii="仿宋_GB2312" w:hAnsi="仿宋_GB2312" w:cs="仿宋_GB2312"/>
          <w:sz w:val="32"/>
          <w:szCs w:val="32"/>
        </w:rPr>
        <w:t>万元，其中</w:t>
      </w:r>
      <w:r>
        <w:rPr>
          <w:rFonts w:ascii="仿宋_GB2312" w:hAnsi="仿宋_GB2312" w:cs="仿宋_GB2312"/>
          <w:sz w:val="32"/>
          <w:szCs w:val="32"/>
        </w:rPr>
        <w:t>2023</w:t>
      </w:r>
      <w:r>
        <w:rPr>
          <w:rFonts w:hint="eastAsia" w:ascii="仿宋_GB2312" w:hAnsi="仿宋_GB2312" w:cs="仿宋_GB2312"/>
          <w:sz w:val="32"/>
          <w:szCs w:val="32"/>
        </w:rPr>
        <w:t>年曲江区小型水库工程设施维修养护项目已支付</w:t>
      </w:r>
      <w:r>
        <w:rPr>
          <w:rFonts w:ascii="仿宋_GB2312" w:hAnsi="仿宋_GB2312" w:cs="仿宋_GB2312"/>
          <w:sz w:val="32"/>
          <w:szCs w:val="32"/>
        </w:rPr>
        <w:t>7.16</w:t>
      </w:r>
      <w:r>
        <w:rPr>
          <w:rFonts w:hint="eastAsia" w:ascii="仿宋_GB2312" w:hAnsi="仿宋_GB2312" w:cs="仿宋_GB2312"/>
          <w:sz w:val="32"/>
          <w:szCs w:val="32"/>
        </w:rPr>
        <w:t>万元，占总支出的</w:t>
      </w:r>
      <w:r>
        <w:rPr>
          <w:rFonts w:ascii="仿宋_GB2312" w:hAnsi="仿宋_GB2312" w:cs="仿宋_GB2312"/>
          <w:sz w:val="32"/>
          <w:szCs w:val="32"/>
        </w:rPr>
        <w:t>58.89%</w:t>
      </w:r>
      <w:r>
        <w:rPr>
          <w:rFonts w:hint="eastAsia" w:ascii="仿宋_GB2312" w:hAnsi="仿宋_GB2312" w:cs="仿宋_GB2312"/>
          <w:sz w:val="32"/>
          <w:szCs w:val="32"/>
        </w:rPr>
        <w:t>；</w:t>
      </w:r>
      <w:r>
        <w:rPr>
          <w:rFonts w:ascii="仿宋_GB2312" w:hAnsi="仿宋_GB2312" w:cs="仿宋_GB2312"/>
          <w:sz w:val="32"/>
          <w:szCs w:val="32"/>
        </w:rPr>
        <w:t>2023</w:t>
      </w:r>
      <w:r>
        <w:rPr>
          <w:rFonts w:hint="eastAsia" w:ascii="仿宋_GB2312" w:hAnsi="仿宋_GB2312" w:cs="仿宋_GB2312"/>
          <w:sz w:val="32"/>
          <w:szCs w:val="32"/>
        </w:rPr>
        <w:t>年曲江区农业水价综合改革项目已支付</w:t>
      </w:r>
      <w:r>
        <w:rPr>
          <w:rFonts w:ascii="仿宋_GB2312" w:hAnsi="仿宋_GB2312" w:cs="仿宋_GB2312"/>
          <w:sz w:val="32"/>
          <w:szCs w:val="32"/>
        </w:rPr>
        <w:t>5</w:t>
      </w:r>
      <w:r>
        <w:rPr>
          <w:rFonts w:hint="eastAsia" w:ascii="仿宋_GB2312" w:hAnsi="仿宋_GB2312" w:cs="仿宋_GB2312"/>
          <w:sz w:val="32"/>
          <w:szCs w:val="32"/>
        </w:rPr>
        <w:t>万元，占总支出的</w:t>
      </w:r>
      <w:r>
        <w:rPr>
          <w:rFonts w:ascii="仿宋_GB2312" w:hAnsi="仿宋_GB2312" w:cs="仿宋_GB2312"/>
          <w:sz w:val="32"/>
          <w:szCs w:val="32"/>
        </w:rPr>
        <w:t>41.11%</w:t>
      </w:r>
      <w:r>
        <w:rPr>
          <w:rFonts w:hint="eastAsia" w:ascii="仿宋_GB2312" w:hAnsi="仿宋_GB2312" w:cs="仿宋_GB2312"/>
          <w:sz w:val="32"/>
          <w:szCs w:val="32"/>
        </w:rPr>
        <w:t>。中央水利发展资金支出主要用于小型水库工程设施维修养护与农业水价综合改革方向。在此期间，我</w:t>
      </w:r>
      <w:r>
        <w:rPr>
          <w:rFonts w:hint="eastAsia" w:ascii="仿宋_GB2312" w:hAnsi="仿宋_GB2312" w:cs="仿宋_GB2312"/>
          <w:sz w:val="32"/>
          <w:szCs w:val="32"/>
          <w:lang w:eastAsia="zh-CN"/>
        </w:rPr>
        <w:t>单位</w:t>
      </w:r>
      <w:r>
        <w:rPr>
          <w:rFonts w:hint="eastAsia" w:ascii="仿宋_GB2312" w:hAnsi="仿宋_GB2312" w:cs="仿宋_GB2312"/>
          <w:sz w:val="32"/>
          <w:szCs w:val="32"/>
        </w:rPr>
        <w:t>严格对水利发展资金的监管，遵守财政纪律控制成本支出，严防浪费和滥用资金现象，预算执行情况良好，资金使用效率较高，较好地履行政府支出责任。</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hint="eastAsia" w:eastAsia="楷体_GB2312" w:cs="楷体_GB2312"/>
          <w:b w:val="0"/>
          <w:bCs w:val="0"/>
          <w:sz w:val="32"/>
          <w:szCs w:val="32"/>
        </w:rPr>
      </w:pPr>
      <w:r>
        <w:rPr>
          <w:rFonts w:hint="eastAsia" w:ascii="仿宋_GB2312" w:hAnsi="仿宋_GB2312" w:eastAsia="楷体_GB2312" w:cs="仿宋_GB2312"/>
          <w:b w:val="0"/>
          <w:bCs w:val="0"/>
          <w:sz w:val="32"/>
          <w:szCs w:val="32"/>
          <w:lang w:eastAsia="zh-CN"/>
        </w:rPr>
        <w:t>（五）</w:t>
      </w:r>
      <w:r>
        <w:rPr>
          <w:rFonts w:hint="eastAsia" w:eastAsia="楷体_GB2312" w:cs="楷体_GB2312"/>
          <w:b w:val="0"/>
          <w:bCs w:val="0"/>
          <w:sz w:val="32"/>
          <w:szCs w:val="32"/>
        </w:rPr>
        <w:t>多渠道筹集资金情况</w:t>
      </w:r>
    </w:p>
    <w:p>
      <w:pPr>
        <w:pStyle w:val="2"/>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仿宋_GB2312" w:hAns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年曲江区小型水库工程设施维修养护项目和</w:t>
      </w:r>
      <w:r>
        <w:rPr>
          <w:rFonts w:ascii="仿宋_GB2312" w:hAnsi="仿宋_GB2312" w:cs="仿宋_GB2312"/>
          <w:sz w:val="32"/>
          <w:szCs w:val="32"/>
        </w:rPr>
        <w:t>2023</w:t>
      </w:r>
      <w:r>
        <w:rPr>
          <w:rFonts w:hint="eastAsia" w:ascii="仿宋_GB2312" w:hAnsi="仿宋_GB2312" w:cs="仿宋_GB2312"/>
          <w:sz w:val="32"/>
          <w:szCs w:val="32"/>
        </w:rPr>
        <w:t>年曲江区农业水价综合改革项目总共筹集资金</w:t>
      </w:r>
      <w:r>
        <w:rPr>
          <w:rFonts w:ascii="仿宋_GB2312" w:hAnsi="仿宋_GB2312" w:cs="仿宋_GB2312"/>
          <w:sz w:val="32"/>
          <w:szCs w:val="32"/>
        </w:rPr>
        <w:t>34</w:t>
      </w:r>
      <w:r>
        <w:rPr>
          <w:rFonts w:hint="eastAsia" w:ascii="仿宋_GB2312" w:hAnsi="仿宋_GB2312" w:cs="仿宋_GB2312"/>
          <w:sz w:val="32"/>
          <w:szCs w:val="32"/>
        </w:rPr>
        <w:t>万元，资金来源均为上级政府资金财政拨款，均为</w:t>
      </w:r>
      <w:r>
        <w:rPr>
          <w:rFonts w:ascii="仿宋_GB2312" w:hAnsi="仿宋_GB2312" w:cs="仿宋_GB2312"/>
          <w:sz w:val="32"/>
          <w:szCs w:val="32"/>
        </w:rPr>
        <w:t>2023</w:t>
      </w:r>
      <w:r>
        <w:rPr>
          <w:rFonts w:hint="eastAsia" w:ascii="仿宋_GB2312" w:hAnsi="仿宋_GB2312" w:cs="仿宋_GB2312"/>
          <w:sz w:val="32"/>
          <w:szCs w:val="32"/>
        </w:rPr>
        <w:t>年中央水利发展资金。筹集的资金在小型水库工程设施维修养护与农业水价综合改革方向发挥积极作用，使用效果良好。</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hint="eastAsia" w:eastAsia="黑体" w:cs="黑体"/>
          <w:b w:val="0"/>
          <w:bCs w:val="0"/>
          <w:sz w:val="32"/>
          <w:szCs w:val="32"/>
        </w:rPr>
      </w:pPr>
      <w:r>
        <w:rPr>
          <w:rFonts w:hint="eastAsia" w:eastAsia="黑体" w:cs="黑体"/>
          <w:b w:val="0"/>
          <w:bCs w:val="0"/>
          <w:sz w:val="32"/>
          <w:szCs w:val="32"/>
        </w:rPr>
        <w:t>二、绩效自评工作开展情况</w:t>
      </w:r>
    </w:p>
    <w:p>
      <w:pPr>
        <w:pStyle w:val="2"/>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eastAsia="楷体_GB2312" w:cs="楷体_GB2312"/>
          <w:b w:val="0"/>
          <w:bCs w:val="0"/>
          <w:sz w:val="32"/>
          <w:szCs w:val="32"/>
        </w:rPr>
      </w:pPr>
      <w:r>
        <w:rPr>
          <w:rFonts w:hint="eastAsia" w:eastAsia="楷体_GB2312" w:cs="楷体_GB2312"/>
          <w:b w:val="0"/>
          <w:bCs w:val="0"/>
          <w:sz w:val="32"/>
          <w:szCs w:val="32"/>
        </w:rPr>
        <w:t>（一）自评依据</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ascii="仿宋_GB2312"/>
          <w:sz w:val="32"/>
          <w:szCs w:val="32"/>
        </w:rPr>
      </w:pPr>
      <w:r>
        <w:rPr>
          <w:rFonts w:hint="eastAsia" w:ascii="仿宋_GB2312" w:hAnsi="仿宋_GB2312" w:cs="仿宋_GB2312"/>
          <w:sz w:val="32"/>
          <w:szCs w:val="32"/>
        </w:rPr>
        <w:t>本次绩效评价按照《财政部、水利部关于印发〈水利发展资金管理办法〉的通知》（财农〔</w:t>
      </w:r>
      <w:r>
        <w:rPr>
          <w:rFonts w:ascii="仿宋_GB2312" w:hAnsi="仿宋_GB2312" w:cs="仿宋_GB2312"/>
          <w:sz w:val="32"/>
          <w:szCs w:val="32"/>
        </w:rPr>
        <w:t>2022</w:t>
      </w:r>
      <w:r>
        <w:rPr>
          <w:rFonts w:hint="eastAsia" w:ascii="仿宋_GB2312" w:hAnsi="仿宋_GB2312" w:cs="仿宋_GB2312"/>
          <w:sz w:val="32"/>
          <w:szCs w:val="32"/>
        </w:rPr>
        <w:t>〕</w:t>
      </w:r>
      <w:r>
        <w:rPr>
          <w:rFonts w:ascii="仿宋_GB2312" w:hAnsi="仿宋_GB2312" w:cs="仿宋_GB2312"/>
          <w:sz w:val="32"/>
          <w:szCs w:val="32"/>
        </w:rPr>
        <w:t>81</w:t>
      </w:r>
      <w:r>
        <w:rPr>
          <w:rFonts w:hint="eastAsia" w:ascii="仿宋_GB2312" w:hAnsi="仿宋_GB2312" w:cs="仿宋_GB2312"/>
          <w:sz w:val="32"/>
          <w:szCs w:val="32"/>
        </w:rPr>
        <w:t>号）、《广东省财政厅、广东省水利厅关于印发广东省中央财政水利发展资金使用管理实施细则的通知》（粤财农〔</w:t>
      </w:r>
      <w:r>
        <w:rPr>
          <w:rFonts w:ascii="仿宋_GB2312" w:hAnsi="仿宋_GB2312" w:cs="仿宋_GB2312"/>
          <w:sz w:val="32"/>
          <w:szCs w:val="32"/>
        </w:rPr>
        <w:t>2023</w:t>
      </w:r>
      <w:r>
        <w:rPr>
          <w:rFonts w:hint="eastAsia" w:ascii="仿宋_GB2312" w:hAnsi="仿宋_GB2312" w:cs="仿宋_GB2312"/>
          <w:sz w:val="32"/>
          <w:szCs w:val="32"/>
        </w:rPr>
        <w:t>〕</w:t>
      </w:r>
      <w:r>
        <w:rPr>
          <w:rFonts w:ascii="仿宋_GB2312" w:hAnsi="仿宋_GB2312" w:cs="仿宋_GB2312"/>
          <w:sz w:val="32"/>
          <w:szCs w:val="32"/>
        </w:rPr>
        <w:t>1</w:t>
      </w:r>
      <w:r>
        <w:rPr>
          <w:rFonts w:hint="eastAsia" w:ascii="仿宋_GB2312" w:hAnsi="仿宋_GB2312" w:cs="仿宋_GB2312"/>
          <w:sz w:val="32"/>
          <w:szCs w:val="32"/>
        </w:rPr>
        <w:t>号）、《广东省中央财政水利发展资金绩效管理实施细则》（粤财农〔</w:t>
      </w:r>
      <w:r>
        <w:rPr>
          <w:rFonts w:ascii="仿宋_GB2312" w:hAnsi="仿宋_GB2312" w:cs="仿宋_GB2312"/>
          <w:sz w:val="32"/>
          <w:szCs w:val="32"/>
        </w:rPr>
        <w:t>2018</w:t>
      </w:r>
      <w:r>
        <w:rPr>
          <w:rFonts w:hint="eastAsia" w:ascii="仿宋_GB2312" w:hAnsi="仿宋_GB2312" w:cs="仿宋_GB2312"/>
          <w:sz w:val="32"/>
          <w:szCs w:val="32"/>
        </w:rPr>
        <w:t>〕</w:t>
      </w:r>
      <w:r>
        <w:rPr>
          <w:rFonts w:ascii="仿宋_GB2312" w:hAnsi="仿宋_GB2312" w:cs="仿宋_GB2312"/>
          <w:sz w:val="32"/>
          <w:szCs w:val="32"/>
        </w:rPr>
        <w:t>312</w:t>
      </w:r>
      <w:r>
        <w:rPr>
          <w:rFonts w:hint="eastAsia" w:ascii="仿宋_GB2312" w:hAnsi="仿宋_GB2312" w:cs="仿宋_GB2312"/>
          <w:sz w:val="32"/>
          <w:szCs w:val="32"/>
        </w:rPr>
        <w:t>号）、《广东省水利厅</w:t>
      </w:r>
      <w:r>
        <w:rPr>
          <w:rFonts w:ascii="仿宋_GB2312" w:hAnsi="仿宋_GB2312" w:cs="仿宋_GB2312"/>
          <w:sz w:val="32"/>
          <w:szCs w:val="32"/>
        </w:rPr>
        <w:t xml:space="preserve"> </w:t>
      </w:r>
      <w:r>
        <w:rPr>
          <w:rFonts w:hint="eastAsia" w:ascii="仿宋_GB2312" w:hAnsi="仿宋_GB2312" w:cs="仿宋_GB2312"/>
          <w:sz w:val="32"/>
          <w:szCs w:val="32"/>
        </w:rPr>
        <w:t>广东省财政厅关于开展</w:t>
      </w:r>
      <w:r>
        <w:rPr>
          <w:rFonts w:ascii="仿宋_GB2312" w:hAnsi="仿宋_GB2312" w:cs="仿宋_GB2312"/>
          <w:sz w:val="32"/>
          <w:szCs w:val="32"/>
        </w:rPr>
        <w:t>2023</w:t>
      </w:r>
      <w:r>
        <w:rPr>
          <w:rFonts w:hint="eastAsia" w:ascii="仿宋_GB2312" w:hAnsi="仿宋_GB2312" w:cs="仿宋_GB2312"/>
          <w:sz w:val="32"/>
          <w:szCs w:val="32"/>
        </w:rPr>
        <w:t>年度水利发展资金绩效评价工作的通知》（粤水财务函〔</w:t>
      </w:r>
      <w:r>
        <w:rPr>
          <w:rFonts w:ascii="仿宋_GB2312" w:hAnsi="仿宋_GB2312" w:cs="仿宋_GB2312"/>
          <w:sz w:val="32"/>
          <w:szCs w:val="32"/>
        </w:rPr>
        <w:t>2024</w:t>
      </w:r>
      <w:r>
        <w:rPr>
          <w:rFonts w:hint="eastAsia" w:ascii="仿宋_GB2312" w:hAnsi="仿宋_GB2312" w:cs="仿宋_GB2312"/>
          <w:sz w:val="32"/>
          <w:szCs w:val="32"/>
        </w:rPr>
        <w:t>〕</w:t>
      </w:r>
      <w:r>
        <w:rPr>
          <w:rFonts w:ascii="仿宋_GB2312" w:hAnsi="仿宋_GB2312" w:cs="仿宋_GB2312"/>
          <w:sz w:val="32"/>
          <w:szCs w:val="32"/>
        </w:rPr>
        <w:t>841</w:t>
      </w:r>
      <w:r>
        <w:rPr>
          <w:rFonts w:hint="eastAsia" w:ascii="仿宋_GB2312" w:hAnsi="仿宋_GB2312" w:cs="仿宋_GB2312"/>
          <w:sz w:val="32"/>
          <w:szCs w:val="32"/>
        </w:rPr>
        <w:t>号）等文件要求开展，韶关市曲江区对</w:t>
      </w:r>
      <w:r>
        <w:rPr>
          <w:rFonts w:ascii="仿宋_GB2312" w:hAnsi="仿宋_GB2312" w:cs="仿宋_GB2312"/>
          <w:sz w:val="32"/>
          <w:szCs w:val="32"/>
        </w:rPr>
        <w:t>2023</w:t>
      </w:r>
      <w:r>
        <w:rPr>
          <w:rFonts w:hint="eastAsia" w:ascii="仿宋_GB2312" w:hAnsi="仿宋_GB2312" w:cs="仿宋_GB2312"/>
          <w:sz w:val="32"/>
          <w:szCs w:val="32"/>
        </w:rPr>
        <w:t>年中央水利发展资金安排的</w:t>
      </w:r>
      <w:r>
        <w:rPr>
          <w:rFonts w:ascii="仿宋_GB2312" w:hAnsi="仿宋_GB2312" w:cs="仿宋_GB2312"/>
          <w:sz w:val="32"/>
          <w:szCs w:val="32"/>
        </w:rPr>
        <w:t>34</w:t>
      </w:r>
      <w:r>
        <w:rPr>
          <w:rFonts w:hint="eastAsia" w:ascii="仿宋_GB2312" w:hAnsi="仿宋_GB2312" w:cs="仿宋_GB2312"/>
          <w:sz w:val="32"/>
          <w:szCs w:val="32"/>
        </w:rPr>
        <w:t>万元开展了资金使用绩效自评，并形成自评报告。</w:t>
      </w:r>
    </w:p>
    <w:p>
      <w:pPr>
        <w:pStyle w:val="18"/>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eastAsia="楷体_GB2312"/>
          <w:b w:val="0"/>
          <w:bCs w:val="0"/>
          <w:sz w:val="32"/>
          <w:szCs w:val="32"/>
        </w:rPr>
      </w:pPr>
      <w:r>
        <w:rPr>
          <w:rFonts w:hint="eastAsia" w:eastAsia="楷体_GB2312" w:cs="楷体_GB2312"/>
          <w:b w:val="0"/>
          <w:bCs w:val="0"/>
          <w:sz w:val="32"/>
          <w:szCs w:val="32"/>
        </w:rPr>
        <w:t>（二）自评方式</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hint="eastAsia" w:ascii="仿宋_GB2312" w:cs="仿宋_GB2312"/>
          <w:sz w:val="32"/>
          <w:szCs w:val="32"/>
        </w:rPr>
      </w:pPr>
      <w:r>
        <w:rPr>
          <w:rFonts w:hint="eastAsia" w:ascii="仿宋_GB2312" w:cs="仿宋_GB2312"/>
          <w:sz w:val="32"/>
          <w:szCs w:val="32"/>
        </w:rPr>
        <w:t>我区高度重视中央财政水利发展资金绩效评价工作，对</w:t>
      </w:r>
      <w:r>
        <w:rPr>
          <w:rFonts w:ascii="仿宋_GB2312" w:cs="仿宋_GB2312"/>
          <w:sz w:val="32"/>
          <w:szCs w:val="32"/>
        </w:rPr>
        <w:t>2023</w:t>
      </w:r>
      <w:r>
        <w:rPr>
          <w:rFonts w:hint="eastAsia" w:ascii="仿宋_GB2312" w:cs="仿宋_GB2312"/>
          <w:sz w:val="32"/>
          <w:szCs w:val="32"/>
        </w:rPr>
        <w:t>年中央水利发展资金绩效评价工作进行了责任分解，召开</w:t>
      </w:r>
      <w:r>
        <w:rPr>
          <w:rFonts w:ascii="仿宋_GB2312" w:cs="仿宋_GB2312"/>
          <w:sz w:val="32"/>
          <w:szCs w:val="32"/>
        </w:rPr>
        <w:t>2023</w:t>
      </w:r>
      <w:r>
        <w:rPr>
          <w:rFonts w:hint="eastAsia" w:ascii="仿宋_GB2312" w:cs="仿宋_GB2312"/>
          <w:sz w:val="32"/>
          <w:szCs w:val="32"/>
        </w:rPr>
        <w:t>年度水利发展资金绩效评价工作推进视频会暨专题培训，并就项目自评报告编报、完成时限、报表填报等工作提出了具体要求，通过查看资料、实地走访等形式进行分析评价，以确保绩效自评结果真实、准确、客观。</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ascii="楷体_GB2312" w:eastAsia="楷体_GB2312"/>
          <w:b w:val="0"/>
          <w:bCs w:val="0"/>
          <w:sz w:val="32"/>
          <w:szCs w:val="32"/>
        </w:rPr>
      </w:pPr>
      <w:r>
        <w:rPr>
          <w:rFonts w:hint="eastAsia" w:ascii="楷体_GB2312" w:eastAsia="楷体_GB2312" w:cs="楷体_GB2312"/>
          <w:b w:val="0"/>
          <w:bCs w:val="0"/>
          <w:sz w:val="32"/>
          <w:szCs w:val="32"/>
        </w:rPr>
        <w:t>（三）经验做法</w:t>
      </w:r>
    </w:p>
    <w:p>
      <w:pPr>
        <w:keepLines w:val="0"/>
        <w:pageBreakBefore w:val="0"/>
        <w:widowControl w:val="0"/>
        <w:kinsoku/>
        <w:wordWrap/>
        <w:overflowPunct/>
        <w:topLinePunct w:val="0"/>
        <w:autoSpaceDE/>
        <w:autoSpaceDN/>
        <w:bidi w:val="0"/>
        <w:adjustRightInd/>
        <w:snapToGrid/>
        <w:spacing w:line="600" w:lineRule="exact"/>
        <w:ind w:left="0" w:firstLine="31680"/>
        <w:textAlignment w:val="auto"/>
        <w:rPr>
          <w:sz w:val="32"/>
          <w:szCs w:val="32"/>
        </w:rPr>
      </w:pPr>
      <w:r>
        <w:rPr>
          <w:rFonts w:hint="eastAsia" w:cs="仿宋_GB2312"/>
          <w:sz w:val="32"/>
          <w:szCs w:val="32"/>
        </w:rPr>
        <w:t>在项目开展前期，成立绩效评价工作小组，根据项目计划实施内容合理制定绩效评价工作方案，设定绩效目标和绩效指标，有效保障项目逐步开展。</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ascii="仿宋_GB2312"/>
          <w:sz w:val="32"/>
          <w:szCs w:val="32"/>
        </w:rPr>
      </w:pPr>
      <w:r>
        <w:rPr>
          <w:rFonts w:hint="eastAsia" w:ascii="仿宋_GB2312" w:hAnsi="仿宋_GB2312" w:cs="仿宋_GB2312"/>
          <w:color w:val="auto"/>
          <w:sz w:val="32"/>
          <w:szCs w:val="32"/>
        </w:rPr>
        <w:t>在项目开展中期，对资金管理使用与项目实施双管齐下、严格把控：我</w:t>
      </w:r>
      <w:r>
        <w:rPr>
          <w:rFonts w:hint="eastAsia" w:ascii="仿宋_GB2312" w:hAnsi="仿宋_GB2312" w:cs="仿宋_GB2312"/>
          <w:color w:val="auto"/>
          <w:sz w:val="32"/>
          <w:szCs w:val="32"/>
          <w:lang w:eastAsia="zh-CN"/>
        </w:rPr>
        <w:t>单位</w:t>
      </w:r>
      <w:r>
        <w:rPr>
          <w:rFonts w:hint="eastAsia" w:ascii="仿宋_GB2312" w:hAnsi="仿宋_GB2312" w:cs="仿宋_GB2312"/>
          <w:color w:val="auto"/>
          <w:sz w:val="32"/>
          <w:szCs w:val="32"/>
        </w:rPr>
        <w:t>对项目资金进行专款管理，做到专款专用，确保协调好项目的用款计划、用款进度、用款额度等，使项目的正常</w:t>
      </w:r>
      <w:r>
        <w:rPr>
          <w:rFonts w:hint="eastAsia" w:ascii="仿宋_GB2312" w:hAnsi="仿宋_GB2312" w:cs="仿宋_GB2312"/>
          <w:sz w:val="32"/>
          <w:szCs w:val="32"/>
        </w:rPr>
        <w:t>运作展开。项目实施过程中，遵循先考察、调研，再根据我单位工作实际情况制定相应的措施</w:t>
      </w:r>
      <w:r>
        <w:rPr>
          <w:rFonts w:hint="eastAsia" w:ascii="仿宋_GB2312" w:hAnsi="仿宋_GB2312" w:cs="仿宋_GB2312"/>
          <w:sz w:val="32"/>
          <w:szCs w:val="32"/>
          <w:lang w:eastAsia="zh-CN"/>
        </w:rPr>
        <w:t>，</w:t>
      </w:r>
      <w:r>
        <w:rPr>
          <w:rFonts w:hint="eastAsia" w:ascii="仿宋_GB2312" w:hAnsi="仿宋_GB2312" w:cs="仿宋_GB2312"/>
          <w:sz w:val="32"/>
          <w:szCs w:val="32"/>
        </w:rPr>
        <w:t>实现了项目管理与过程管理的有机结合。同时由主管局为监管部门，不定期对项目执行单位进度情况进行督导检查，对检查过程中发现的问题及时督促整改，确保项目按时保质完成。</w:t>
      </w:r>
    </w:p>
    <w:p>
      <w:pPr>
        <w:pStyle w:val="2"/>
        <w:keepLines w:val="0"/>
        <w:pageBreakBefore w:val="0"/>
        <w:widowControl w:val="0"/>
        <w:kinsoku/>
        <w:wordWrap/>
        <w:overflowPunct/>
        <w:topLinePunct w:val="0"/>
        <w:autoSpaceDE/>
        <w:autoSpaceDN/>
        <w:bidi w:val="0"/>
        <w:adjustRightInd/>
        <w:snapToGrid/>
        <w:spacing w:after="0" w:line="600" w:lineRule="exact"/>
        <w:ind w:left="0" w:firstLine="31680"/>
        <w:textAlignment w:val="auto"/>
        <w:rPr>
          <w:rFonts w:ascii="仿宋_GB2312"/>
          <w:sz w:val="32"/>
          <w:szCs w:val="32"/>
        </w:rPr>
      </w:pPr>
      <w:r>
        <w:rPr>
          <w:rFonts w:hint="eastAsia" w:ascii="仿宋_GB2312" w:hAnsi="仿宋_GB2312" w:cs="仿宋_GB2312"/>
          <w:sz w:val="32"/>
          <w:szCs w:val="32"/>
        </w:rPr>
        <w:t>在项目开展后期，对项目进行绩效评价工作，深入分析资金使用情况，评估资金使用效益、项目投入进度等，确保资金被用于实现计划目标与产出。根据绩效评价的结果，对工作流程、管理办法等持续改进调整，提高工作效率和质量。</w:t>
      </w:r>
    </w:p>
    <w:p>
      <w:pPr>
        <w:pStyle w:val="4"/>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eastAsia="楷体_GB2312"/>
          <w:b w:val="0"/>
          <w:bCs w:val="0"/>
          <w:sz w:val="32"/>
          <w:szCs w:val="32"/>
        </w:rPr>
      </w:pPr>
      <w:r>
        <w:rPr>
          <w:rFonts w:hint="eastAsia" w:eastAsia="楷体_GB2312" w:cs="楷体_GB2312"/>
          <w:b w:val="0"/>
          <w:bCs w:val="0"/>
          <w:sz w:val="32"/>
          <w:szCs w:val="32"/>
        </w:rPr>
        <w:t>（四）问题和建议</w:t>
      </w:r>
    </w:p>
    <w:p>
      <w:pPr>
        <w:pStyle w:val="2"/>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ascii="仿宋_GB2312"/>
          <w:sz w:val="32"/>
          <w:szCs w:val="32"/>
        </w:rPr>
      </w:pPr>
      <w:r>
        <w:rPr>
          <w:rFonts w:hint="eastAsia" w:ascii="仿宋_GB2312" w:hAnsi="仿宋_GB2312" w:cs="仿宋_GB2312"/>
          <w:sz w:val="32"/>
          <w:szCs w:val="32"/>
        </w:rPr>
        <w:t>无</w:t>
      </w:r>
    </w:p>
    <w:p>
      <w:pPr>
        <w:pStyle w:val="17"/>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eastAsia="黑体" w:cs="黑体"/>
          <w:b w:val="0"/>
          <w:bCs w:val="0"/>
          <w:sz w:val="32"/>
          <w:szCs w:val="32"/>
        </w:rPr>
      </w:pPr>
      <w:r>
        <w:rPr>
          <w:rFonts w:hint="eastAsia" w:eastAsia="黑体" w:cs="黑体"/>
          <w:b w:val="0"/>
          <w:bCs w:val="0"/>
          <w:sz w:val="32"/>
          <w:szCs w:val="32"/>
        </w:rPr>
        <w:t>三、绩效自评分析</w:t>
      </w:r>
    </w:p>
    <w:p>
      <w:pPr>
        <w:pStyle w:val="17"/>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eastAsia="楷体_GB2312" w:cs="楷体_GB2312"/>
          <w:b w:val="0"/>
          <w:bCs w:val="0"/>
          <w:sz w:val="32"/>
          <w:szCs w:val="32"/>
        </w:rPr>
      </w:pPr>
      <w:r>
        <w:rPr>
          <w:rFonts w:hint="eastAsia" w:eastAsia="楷体_GB2312" w:cs="楷体_GB2312"/>
          <w:b w:val="0"/>
          <w:bCs w:val="0"/>
          <w:sz w:val="32"/>
          <w:szCs w:val="32"/>
        </w:rPr>
        <w:t>（一）项目资金情况分析</w:t>
      </w:r>
    </w:p>
    <w:p>
      <w:pPr>
        <w:pStyle w:val="17"/>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ascii="仿宋_GB2312"/>
          <w:b/>
          <w:bCs/>
          <w:sz w:val="32"/>
          <w:szCs w:val="32"/>
        </w:rPr>
      </w:pPr>
      <w:r>
        <w:rPr>
          <w:rFonts w:ascii="仿宋_GB2312" w:hAnsi="仿宋_GB2312" w:cs="仿宋_GB2312"/>
          <w:b/>
          <w:bCs/>
          <w:sz w:val="32"/>
          <w:szCs w:val="32"/>
        </w:rPr>
        <w:t>1.</w:t>
      </w:r>
      <w:r>
        <w:rPr>
          <w:rFonts w:hint="eastAsia" w:ascii="仿宋_GB2312" w:hAnsi="仿宋_GB2312" w:cs="仿宋_GB2312"/>
          <w:b/>
          <w:bCs/>
          <w:sz w:val="32"/>
          <w:szCs w:val="32"/>
        </w:rPr>
        <w:t>资金到位情况</w:t>
      </w:r>
    </w:p>
    <w:p>
      <w:pPr>
        <w:keepLines w:val="0"/>
        <w:pageBreakBefore w:val="0"/>
        <w:widowControl w:val="0"/>
        <w:shd w:val="clear" w:color="auto" w:fill="FFFFFE"/>
        <w:kinsoku/>
        <w:wordWrap/>
        <w:overflowPunct/>
        <w:topLinePunct w:val="0"/>
        <w:autoSpaceDE/>
        <w:autoSpaceDN/>
        <w:bidi w:val="0"/>
        <w:adjustRightInd/>
        <w:snapToGrid/>
        <w:spacing w:line="600" w:lineRule="exact"/>
        <w:ind w:left="0" w:firstLine="31680"/>
        <w:jc w:val="left"/>
        <w:textAlignment w:val="auto"/>
        <w:rPr>
          <w:rFonts w:asci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年度，批复预算投资</w:t>
      </w:r>
      <w:r>
        <w:rPr>
          <w:rFonts w:ascii="仿宋_GB2312" w:hAnsi="仿宋_GB2312" w:cs="仿宋_GB2312"/>
          <w:sz w:val="32"/>
          <w:szCs w:val="32"/>
        </w:rPr>
        <w:t>34</w:t>
      </w:r>
      <w:r>
        <w:rPr>
          <w:rFonts w:hint="eastAsia" w:ascii="仿宋_GB2312" w:hAnsi="仿宋_GB2312" w:cs="仿宋_GB2312"/>
          <w:sz w:val="32"/>
          <w:szCs w:val="32"/>
        </w:rPr>
        <w:t>万元，均为中央财政资金。截至</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6</w:t>
      </w:r>
      <w:r>
        <w:rPr>
          <w:rFonts w:hint="eastAsia" w:ascii="仿宋_GB2312" w:hAnsi="仿宋_GB2312" w:cs="仿宋_GB2312"/>
          <w:sz w:val="32"/>
          <w:szCs w:val="32"/>
        </w:rPr>
        <w:t>月底，中央和省级财政资金到位</w:t>
      </w:r>
      <w:r>
        <w:rPr>
          <w:rFonts w:ascii="仿宋_GB2312" w:hAnsi="仿宋_GB2312" w:cs="仿宋_GB2312"/>
          <w:sz w:val="32"/>
          <w:szCs w:val="32"/>
        </w:rPr>
        <w:t>34</w:t>
      </w:r>
      <w:r>
        <w:rPr>
          <w:rFonts w:hint="eastAsia" w:ascii="仿宋_GB2312" w:hAnsi="仿宋_GB2312" w:cs="仿宋_GB2312"/>
          <w:sz w:val="32"/>
          <w:szCs w:val="32"/>
        </w:rPr>
        <w:t>万元，到位率</w:t>
      </w:r>
      <w:r>
        <w:rPr>
          <w:rFonts w:ascii="仿宋_GB2312" w:hAnsi="仿宋_GB2312" w:cs="仿宋_GB2312"/>
          <w:sz w:val="32"/>
          <w:szCs w:val="32"/>
        </w:rPr>
        <w:t>100%</w:t>
      </w:r>
      <w:r>
        <w:rPr>
          <w:rFonts w:hint="eastAsia" w:ascii="仿宋_GB2312" w:hAnsi="仿宋_GB2312" w:cs="仿宋_GB2312"/>
          <w:sz w:val="32"/>
          <w:szCs w:val="32"/>
        </w:rPr>
        <w:t>。</w:t>
      </w:r>
    </w:p>
    <w:p>
      <w:pPr>
        <w:ind w:firstLine="0" w:firstLineChars="0"/>
        <w:jc w:val="center"/>
        <w:rPr>
          <w:rFonts w:ascii="仿宋_GB2312"/>
          <w:b/>
          <w:bCs/>
          <w:sz w:val="30"/>
          <w:szCs w:val="30"/>
        </w:rPr>
      </w:pPr>
      <w:r>
        <w:rPr>
          <w:rFonts w:hint="eastAsia" w:cs="仿宋_GB2312"/>
          <w:b/>
          <w:bCs/>
          <w:sz w:val="30"/>
          <w:szCs w:val="30"/>
        </w:rPr>
        <w:t>表</w:t>
      </w:r>
      <w:r>
        <w:rPr>
          <w:b/>
          <w:bCs/>
          <w:sz w:val="30"/>
          <w:szCs w:val="30"/>
        </w:rPr>
        <w:t xml:space="preserve">2  </w:t>
      </w:r>
      <w:r>
        <w:rPr>
          <w:rFonts w:ascii="仿宋_GB2312" w:hAnsi="仿宋_GB2312" w:cs="仿宋_GB2312"/>
          <w:b/>
          <w:bCs/>
          <w:sz w:val="30"/>
          <w:szCs w:val="30"/>
        </w:rPr>
        <w:t>2023</w:t>
      </w:r>
      <w:r>
        <w:rPr>
          <w:rFonts w:hint="eastAsia" w:cs="仿宋_GB2312"/>
          <w:b/>
          <w:bCs/>
          <w:sz w:val="30"/>
          <w:szCs w:val="30"/>
        </w:rPr>
        <w:t>年度中央和省级财政资金到位情况表</w:t>
      </w:r>
    </w:p>
    <w:tbl>
      <w:tblPr>
        <w:tblStyle w:val="8"/>
        <w:tblW w:w="51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28" w:type="dxa"/>
        </w:tblCellMar>
      </w:tblPr>
      <w:tblGrid>
        <w:gridCol w:w="934"/>
        <w:gridCol w:w="761"/>
        <w:gridCol w:w="711"/>
        <w:gridCol w:w="760"/>
        <w:gridCol w:w="754"/>
        <w:gridCol w:w="778"/>
        <w:gridCol w:w="746"/>
        <w:gridCol w:w="802"/>
        <w:gridCol w:w="691"/>
        <w:gridCol w:w="784"/>
        <w:gridCol w:w="756"/>
        <w:gridCol w:w="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08" w:hRule="atLeast"/>
          <w:jc w:val="center"/>
        </w:trPr>
        <w:tc>
          <w:tcPr>
            <w:tcW w:w="2247" w:type="dxa"/>
            <w:vMerge w:val="restart"/>
            <w:vAlign w:val="center"/>
          </w:tcPr>
          <w:p>
            <w:pPr>
              <w:pStyle w:val="19"/>
              <w:spacing w:after="0" w:line="240" w:lineRule="auto"/>
              <w:jc w:val="center"/>
              <w:rPr>
                <w:rFonts w:ascii="Times New Roman" w:hAnsi="Times New Roman" w:cs="Times New Roman"/>
                <w:color w:val="auto"/>
                <w:sz w:val="21"/>
                <w:szCs w:val="21"/>
              </w:rPr>
            </w:pPr>
            <w:r>
              <w:rPr>
                <w:rFonts w:hint="eastAsia" w:ascii="Times New Roman" w:hAnsi="Times New Roman" w:eastAsia="仿宋_GB2312" w:cs="仿宋_GB2312"/>
                <w:color w:val="auto"/>
                <w:sz w:val="21"/>
                <w:szCs w:val="21"/>
              </w:rPr>
              <w:t>资金支出方向</w:t>
            </w:r>
          </w:p>
        </w:tc>
        <w:tc>
          <w:tcPr>
            <w:tcW w:w="1147" w:type="dxa"/>
            <w:vMerge w:val="restart"/>
            <w:vAlign w:val="center"/>
          </w:tcPr>
          <w:p>
            <w:pPr>
              <w:spacing w:line="260" w:lineRule="exact"/>
              <w:ind w:firstLine="0" w:firstLineChars="0"/>
              <w:jc w:val="center"/>
              <w:rPr>
                <w:kern w:val="0"/>
                <w:sz w:val="21"/>
                <w:szCs w:val="21"/>
              </w:rPr>
            </w:pPr>
            <w:r>
              <w:rPr>
                <w:rFonts w:hint="eastAsia" w:cs="仿宋_GB2312"/>
                <w:kern w:val="0"/>
                <w:sz w:val="21"/>
                <w:szCs w:val="21"/>
              </w:rPr>
              <w:t>批复预算数（万元）</w:t>
            </w:r>
          </w:p>
        </w:tc>
        <w:tc>
          <w:tcPr>
            <w:tcW w:w="10952" w:type="dxa"/>
            <w:gridSpan w:val="10"/>
            <w:vAlign w:val="center"/>
          </w:tcPr>
          <w:p>
            <w:pPr>
              <w:spacing w:line="260" w:lineRule="exact"/>
              <w:ind w:firstLine="0" w:firstLineChars="0"/>
              <w:jc w:val="center"/>
              <w:rPr>
                <w:kern w:val="0"/>
                <w:sz w:val="21"/>
                <w:szCs w:val="21"/>
              </w:rPr>
            </w:pPr>
            <w:r>
              <w:rPr>
                <w:rFonts w:hint="eastAsia" w:cs="仿宋_GB2312"/>
                <w:kern w:val="0"/>
                <w:sz w:val="21"/>
                <w:szCs w:val="21"/>
              </w:rPr>
              <w:t>扣除脱贫县资金后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21" w:hRule="atLeast"/>
          <w:jc w:val="center"/>
        </w:trPr>
        <w:tc>
          <w:tcPr>
            <w:tcW w:w="2247" w:type="dxa"/>
            <w:vMerge w:val="continue"/>
            <w:vAlign w:val="center"/>
          </w:tcPr>
          <w:p>
            <w:pPr>
              <w:spacing w:line="260" w:lineRule="exact"/>
              <w:ind w:firstLine="0" w:firstLineChars="0"/>
              <w:jc w:val="center"/>
              <w:rPr>
                <w:kern w:val="0"/>
                <w:sz w:val="21"/>
                <w:szCs w:val="21"/>
              </w:rPr>
            </w:pPr>
          </w:p>
        </w:tc>
        <w:tc>
          <w:tcPr>
            <w:tcW w:w="1147" w:type="dxa"/>
            <w:vMerge w:val="continue"/>
            <w:vAlign w:val="center"/>
          </w:tcPr>
          <w:p>
            <w:pPr>
              <w:spacing w:line="260" w:lineRule="exact"/>
              <w:ind w:firstLine="0" w:firstLineChars="0"/>
              <w:jc w:val="center"/>
              <w:rPr>
                <w:kern w:val="0"/>
                <w:sz w:val="21"/>
                <w:szCs w:val="21"/>
              </w:rPr>
            </w:pPr>
          </w:p>
        </w:tc>
        <w:tc>
          <w:tcPr>
            <w:tcW w:w="4464" w:type="dxa"/>
            <w:gridSpan w:val="4"/>
            <w:vAlign w:val="center"/>
          </w:tcPr>
          <w:p>
            <w:pPr>
              <w:spacing w:line="260" w:lineRule="exact"/>
              <w:ind w:firstLine="0" w:firstLineChars="0"/>
              <w:jc w:val="center"/>
              <w:rPr>
                <w:kern w:val="0"/>
                <w:sz w:val="21"/>
                <w:szCs w:val="21"/>
              </w:rPr>
            </w:pPr>
            <w:r>
              <w:rPr>
                <w:rFonts w:hint="eastAsia" w:cs="仿宋_GB2312"/>
                <w:kern w:val="0"/>
                <w:sz w:val="21"/>
                <w:szCs w:val="21"/>
              </w:rPr>
              <w:t>预算数（万元）</w:t>
            </w:r>
          </w:p>
        </w:tc>
        <w:tc>
          <w:tcPr>
            <w:tcW w:w="4525" w:type="dxa"/>
            <w:gridSpan w:val="4"/>
            <w:vAlign w:val="center"/>
          </w:tcPr>
          <w:p>
            <w:pPr>
              <w:spacing w:line="260" w:lineRule="exact"/>
              <w:ind w:firstLine="0" w:firstLineChars="0"/>
              <w:jc w:val="center"/>
              <w:rPr>
                <w:kern w:val="0"/>
                <w:sz w:val="21"/>
                <w:szCs w:val="21"/>
              </w:rPr>
            </w:pPr>
            <w:r>
              <w:rPr>
                <w:rFonts w:hint="eastAsia" w:cs="仿宋_GB2312"/>
                <w:kern w:val="0"/>
                <w:sz w:val="21"/>
                <w:szCs w:val="21"/>
              </w:rPr>
              <w:t>财政到位资金（万元）</w:t>
            </w:r>
          </w:p>
        </w:tc>
        <w:tc>
          <w:tcPr>
            <w:tcW w:w="1000" w:type="dxa"/>
            <w:vMerge w:val="restart"/>
            <w:vAlign w:val="center"/>
          </w:tcPr>
          <w:p>
            <w:pPr>
              <w:spacing w:line="260" w:lineRule="exact"/>
              <w:ind w:firstLine="0" w:firstLineChars="0"/>
              <w:jc w:val="center"/>
              <w:rPr>
                <w:kern w:val="0"/>
                <w:sz w:val="21"/>
                <w:szCs w:val="21"/>
              </w:rPr>
            </w:pPr>
            <w:r>
              <w:rPr>
                <w:rFonts w:hint="eastAsia" w:cs="仿宋_GB2312"/>
                <w:kern w:val="0"/>
                <w:sz w:val="21"/>
                <w:szCs w:val="21"/>
              </w:rPr>
              <w:t>中央和省级财政资金到位率（</w:t>
            </w:r>
            <w:r>
              <w:rPr>
                <w:kern w:val="0"/>
                <w:sz w:val="21"/>
                <w:szCs w:val="21"/>
              </w:rPr>
              <w:t>%</w:t>
            </w:r>
            <w:r>
              <w:rPr>
                <w:rFonts w:hint="eastAsia" w:cs="仿宋_GB2312"/>
                <w:kern w:val="0"/>
                <w:sz w:val="21"/>
                <w:szCs w:val="21"/>
              </w:rPr>
              <w:t>）</w:t>
            </w:r>
          </w:p>
        </w:tc>
        <w:tc>
          <w:tcPr>
            <w:tcW w:w="963" w:type="dxa"/>
            <w:vMerge w:val="restart"/>
            <w:vAlign w:val="center"/>
          </w:tcPr>
          <w:p>
            <w:pPr>
              <w:spacing w:line="260" w:lineRule="exact"/>
              <w:ind w:firstLine="0" w:firstLineChars="0"/>
              <w:jc w:val="center"/>
              <w:rPr>
                <w:kern w:val="0"/>
                <w:sz w:val="21"/>
                <w:szCs w:val="21"/>
              </w:rPr>
            </w:pPr>
            <w:r>
              <w:rPr>
                <w:rFonts w:hint="eastAsia" w:cs="仿宋_GB2312"/>
                <w:kern w:val="0"/>
                <w:sz w:val="21"/>
                <w:szCs w:val="21"/>
              </w:rPr>
              <w:t>市县财政资金到位率（</w:t>
            </w:r>
            <w:r>
              <w:rPr>
                <w:kern w:val="0"/>
                <w:sz w:val="21"/>
                <w:szCs w:val="21"/>
              </w:rPr>
              <w:t>%</w:t>
            </w:r>
            <w:r>
              <w:rPr>
                <w:rFonts w:hint="eastAsia"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21" w:hRule="atLeast"/>
          <w:jc w:val="center"/>
        </w:trPr>
        <w:tc>
          <w:tcPr>
            <w:tcW w:w="2247" w:type="dxa"/>
            <w:vMerge w:val="continue"/>
            <w:vAlign w:val="center"/>
          </w:tcPr>
          <w:p>
            <w:pPr>
              <w:spacing w:line="260" w:lineRule="exact"/>
              <w:ind w:firstLine="0" w:firstLineChars="0"/>
              <w:jc w:val="center"/>
              <w:rPr>
                <w:kern w:val="0"/>
                <w:sz w:val="21"/>
                <w:szCs w:val="21"/>
              </w:rPr>
            </w:pPr>
          </w:p>
        </w:tc>
        <w:tc>
          <w:tcPr>
            <w:tcW w:w="1147" w:type="dxa"/>
            <w:vMerge w:val="continue"/>
            <w:vAlign w:val="center"/>
          </w:tcPr>
          <w:p>
            <w:pPr>
              <w:spacing w:line="260" w:lineRule="exact"/>
              <w:ind w:firstLine="0" w:firstLineChars="0"/>
              <w:jc w:val="center"/>
              <w:rPr>
                <w:kern w:val="0"/>
                <w:sz w:val="21"/>
                <w:szCs w:val="21"/>
              </w:rPr>
            </w:pPr>
          </w:p>
        </w:tc>
        <w:tc>
          <w:tcPr>
            <w:tcW w:w="1000" w:type="dxa"/>
            <w:vMerge w:val="restart"/>
            <w:vAlign w:val="center"/>
          </w:tcPr>
          <w:p>
            <w:pPr>
              <w:spacing w:line="260" w:lineRule="exact"/>
              <w:ind w:firstLine="0" w:firstLineChars="0"/>
              <w:jc w:val="center"/>
              <w:rPr>
                <w:kern w:val="0"/>
                <w:sz w:val="21"/>
                <w:szCs w:val="21"/>
              </w:rPr>
            </w:pPr>
            <w:r>
              <w:rPr>
                <w:rFonts w:hint="eastAsia" w:cs="仿宋_GB2312"/>
                <w:kern w:val="0"/>
                <w:sz w:val="21"/>
                <w:szCs w:val="21"/>
              </w:rPr>
              <w:t>总投资</w:t>
            </w:r>
          </w:p>
        </w:tc>
        <w:tc>
          <w:tcPr>
            <w:tcW w:w="3464" w:type="dxa"/>
            <w:gridSpan w:val="3"/>
            <w:vAlign w:val="center"/>
          </w:tcPr>
          <w:p>
            <w:pPr>
              <w:spacing w:line="260" w:lineRule="exact"/>
              <w:ind w:firstLine="0" w:firstLineChars="0"/>
              <w:jc w:val="center"/>
              <w:rPr>
                <w:kern w:val="0"/>
                <w:sz w:val="21"/>
                <w:szCs w:val="21"/>
              </w:rPr>
            </w:pPr>
            <w:r>
              <w:rPr>
                <w:rFonts w:hint="eastAsia" w:cs="仿宋_GB2312"/>
                <w:kern w:val="0"/>
                <w:sz w:val="21"/>
                <w:szCs w:val="21"/>
              </w:rPr>
              <w:t>其中</w:t>
            </w:r>
          </w:p>
        </w:tc>
        <w:tc>
          <w:tcPr>
            <w:tcW w:w="1102" w:type="dxa"/>
            <w:vMerge w:val="restart"/>
            <w:vAlign w:val="center"/>
          </w:tcPr>
          <w:p>
            <w:pPr>
              <w:spacing w:line="260" w:lineRule="exact"/>
              <w:ind w:firstLine="0" w:firstLineChars="0"/>
              <w:jc w:val="center"/>
              <w:rPr>
                <w:kern w:val="0"/>
                <w:sz w:val="21"/>
                <w:szCs w:val="21"/>
              </w:rPr>
            </w:pPr>
            <w:r>
              <w:rPr>
                <w:rFonts w:hint="eastAsia" w:cs="仿宋_GB2312"/>
                <w:kern w:val="0"/>
                <w:sz w:val="21"/>
                <w:szCs w:val="21"/>
              </w:rPr>
              <w:t>小计</w:t>
            </w:r>
          </w:p>
        </w:tc>
        <w:tc>
          <w:tcPr>
            <w:tcW w:w="3423" w:type="dxa"/>
            <w:gridSpan w:val="3"/>
            <w:vAlign w:val="center"/>
          </w:tcPr>
          <w:p>
            <w:pPr>
              <w:spacing w:line="260" w:lineRule="exact"/>
              <w:ind w:firstLine="0" w:firstLineChars="0"/>
              <w:jc w:val="center"/>
              <w:rPr>
                <w:kern w:val="0"/>
                <w:sz w:val="21"/>
                <w:szCs w:val="21"/>
              </w:rPr>
            </w:pPr>
            <w:r>
              <w:rPr>
                <w:rFonts w:hint="eastAsia" w:cs="仿宋_GB2312"/>
                <w:kern w:val="0"/>
                <w:sz w:val="21"/>
                <w:szCs w:val="21"/>
              </w:rPr>
              <w:t>其中</w:t>
            </w:r>
          </w:p>
        </w:tc>
        <w:tc>
          <w:tcPr>
            <w:tcW w:w="1000" w:type="dxa"/>
            <w:vMerge w:val="continue"/>
            <w:vAlign w:val="center"/>
          </w:tcPr>
          <w:p>
            <w:pPr>
              <w:spacing w:line="260" w:lineRule="exact"/>
              <w:ind w:firstLine="0" w:firstLineChars="0"/>
              <w:jc w:val="center"/>
              <w:rPr>
                <w:kern w:val="0"/>
                <w:sz w:val="21"/>
                <w:szCs w:val="21"/>
              </w:rPr>
            </w:pPr>
          </w:p>
        </w:tc>
        <w:tc>
          <w:tcPr>
            <w:tcW w:w="963" w:type="dxa"/>
            <w:vMerge w:val="continue"/>
            <w:vAlign w:val="center"/>
          </w:tcPr>
          <w:p>
            <w:pPr>
              <w:spacing w:line="260" w:lineRule="exact"/>
              <w:ind w:firstLine="0" w:firstLineChars="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79" w:hRule="atLeast"/>
          <w:jc w:val="center"/>
        </w:trPr>
        <w:tc>
          <w:tcPr>
            <w:tcW w:w="2247" w:type="dxa"/>
            <w:vMerge w:val="continue"/>
            <w:vAlign w:val="center"/>
          </w:tcPr>
          <w:p>
            <w:pPr>
              <w:spacing w:line="260" w:lineRule="exact"/>
              <w:ind w:firstLine="0" w:firstLineChars="0"/>
              <w:jc w:val="center"/>
              <w:rPr>
                <w:kern w:val="0"/>
                <w:sz w:val="21"/>
                <w:szCs w:val="21"/>
              </w:rPr>
            </w:pPr>
          </w:p>
        </w:tc>
        <w:tc>
          <w:tcPr>
            <w:tcW w:w="1147" w:type="dxa"/>
            <w:vMerge w:val="continue"/>
            <w:vAlign w:val="center"/>
          </w:tcPr>
          <w:p>
            <w:pPr>
              <w:spacing w:line="260" w:lineRule="exact"/>
              <w:ind w:firstLine="0" w:firstLineChars="0"/>
              <w:jc w:val="center"/>
              <w:rPr>
                <w:kern w:val="0"/>
                <w:sz w:val="21"/>
                <w:szCs w:val="21"/>
              </w:rPr>
            </w:pPr>
          </w:p>
        </w:tc>
        <w:tc>
          <w:tcPr>
            <w:tcW w:w="1000" w:type="dxa"/>
            <w:vMerge w:val="continue"/>
            <w:vAlign w:val="center"/>
          </w:tcPr>
          <w:p>
            <w:pPr>
              <w:spacing w:line="260" w:lineRule="exact"/>
              <w:ind w:firstLine="0" w:firstLineChars="0"/>
              <w:jc w:val="center"/>
              <w:rPr>
                <w:kern w:val="0"/>
                <w:sz w:val="21"/>
                <w:szCs w:val="21"/>
              </w:rPr>
            </w:pPr>
          </w:p>
        </w:tc>
        <w:tc>
          <w:tcPr>
            <w:tcW w:w="1142" w:type="dxa"/>
            <w:vAlign w:val="center"/>
          </w:tcPr>
          <w:p>
            <w:pPr>
              <w:spacing w:line="260" w:lineRule="exact"/>
              <w:ind w:firstLine="0" w:firstLineChars="0"/>
              <w:jc w:val="center"/>
              <w:rPr>
                <w:kern w:val="0"/>
                <w:sz w:val="21"/>
                <w:szCs w:val="21"/>
              </w:rPr>
            </w:pPr>
            <w:r>
              <w:rPr>
                <w:rFonts w:hint="eastAsia" w:cs="仿宋_GB2312"/>
                <w:kern w:val="0"/>
                <w:sz w:val="21"/>
                <w:szCs w:val="21"/>
              </w:rPr>
              <w:t>中央</w:t>
            </w:r>
          </w:p>
        </w:tc>
        <w:tc>
          <w:tcPr>
            <w:tcW w:w="1127" w:type="dxa"/>
            <w:vAlign w:val="center"/>
          </w:tcPr>
          <w:p>
            <w:pPr>
              <w:spacing w:line="260" w:lineRule="exact"/>
              <w:ind w:firstLine="0" w:firstLineChars="0"/>
              <w:jc w:val="center"/>
              <w:rPr>
                <w:kern w:val="0"/>
                <w:sz w:val="21"/>
                <w:szCs w:val="21"/>
              </w:rPr>
            </w:pPr>
            <w:r>
              <w:rPr>
                <w:rFonts w:hint="eastAsia" w:cs="仿宋_GB2312"/>
                <w:kern w:val="0"/>
                <w:sz w:val="21"/>
                <w:szCs w:val="21"/>
              </w:rPr>
              <w:t>省级</w:t>
            </w:r>
          </w:p>
        </w:tc>
        <w:tc>
          <w:tcPr>
            <w:tcW w:w="1195" w:type="dxa"/>
            <w:vAlign w:val="center"/>
          </w:tcPr>
          <w:p>
            <w:pPr>
              <w:spacing w:line="260" w:lineRule="exact"/>
              <w:ind w:firstLine="0" w:firstLineChars="0"/>
              <w:jc w:val="center"/>
              <w:rPr>
                <w:kern w:val="0"/>
                <w:sz w:val="21"/>
                <w:szCs w:val="21"/>
              </w:rPr>
            </w:pPr>
            <w:r>
              <w:rPr>
                <w:rFonts w:hint="eastAsia" w:cs="仿宋_GB2312"/>
                <w:kern w:val="0"/>
                <w:sz w:val="21"/>
                <w:szCs w:val="21"/>
              </w:rPr>
              <w:t>市县</w:t>
            </w:r>
          </w:p>
        </w:tc>
        <w:tc>
          <w:tcPr>
            <w:tcW w:w="1102" w:type="dxa"/>
            <w:vMerge w:val="continue"/>
            <w:vAlign w:val="center"/>
          </w:tcPr>
          <w:p>
            <w:pPr>
              <w:spacing w:line="260" w:lineRule="exact"/>
              <w:ind w:firstLine="0" w:firstLineChars="0"/>
              <w:jc w:val="center"/>
              <w:rPr>
                <w:kern w:val="0"/>
                <w:sz w:val="21"/>
                <w:szCs w:val="21"/>
              </w:rPr>
            </w:pPr>
          </w:p>
        </w:tc>
        <w:tc>
          <w:tcPr>
            <w:tcW w:w="1266" w:type="dxa"/>
            <w:vAlign w:val="center"/>
          </w:tcPr>
          <w:p>
            <w:pPr>
              <w:spacing w:line="260" w:lineRule="exact"/>
              <w:ind w:firstLine="0" w:firstLineChars="0"/>
              <w:jc w:val="center"/>
              <w:rPr>
                <w:kern w:val="0"/>
                <w:sz w:val="21"/>
                <w:szCs w:val="21"/>
              </w:rPr>
            </w:pPr>
            <w:r>
              <w:rPr>
                <w:rFonts w:hint="eastAsia" w:cs="仿宋_GB2312"/>
                <w:kern w:val="0"/>
                <w:sz w:val="21"/>
                <w:szCs w:val="21"/>
              </w:rPr>
              <w:t>中央</w:t>
            </w:r>
          </w:p>
        </w:tc>
        <w:tc>
          <w:tcPr>
            <w:tcW w:w="943" w:type="dxa"/>
            <w:vAlign w:val="center"/>
          </w:tcPr>
          <w:p>
            <w:pPr>
              <w:spacing w:line="260" w:lineRule="exact"/>
              <w:ind w:firstLine="0" w:firstLineChars="0"/>
              <w:jc w:val="center"/>
              <w:rPr>
                <w:kern w:val="0"/>
                <w:sz w:val="21"/>
                <w:szCs w:val="21"/>
              </w:rPr>
            </w:pPr>
            <w:r>
              <w:rPr>
                <w:rFonts w:hint="eastAsia" w:cs="仿宋_GB2312"/>
                <w:kern w:val="0"/>
                <w:sz w:val="21"/>
                <w:szCs w:val="21"/>
              </w:rPr>
              <w:t>省级</w:t>
            </w:r>
          </w:p>
        </w:tc>
        <w:tc>
          <w:tcPr>
            <w:tcW w:w="1214" w:type="dxa"/>
            <w:vAlign w:val="center"/>
          </w:tcPr>
          <w:p>
            <w:pPr>
              <w:spacing w:line="260" w:lineRule="exact"/>
              <w:ind w:firstLine="0" w:firstLineChars="0"/>
              <w:jc w:val="center"/>
              <w:rPr>
                <w:kern w:val="0"/>
                <w:sz w:val="21"/>
                <w:szCs w:val="21"/>
              </w:rPr>
            </w:pPr>
            <w:r>
              <w:rPr>
                <w:rFonts w:hint="eastAsia" w:cs="仿宋_GB2312"/>
                <w:kern w:val="0"/>
                <w:sz w:val="21"/>
                <w:szCs w:val="21"/>
              </w:rPr>
              <w:t>市县</w:t>
            </w:r>
          </w:p>
        </w:tc>
        <w:tc>
          <w:tcPr>
            <w:tcW w:w="1000" w:type="dxa"/>
            <w:vMerge w:val="continue"/>
            <w:vAlign w:val="center"/>
          </w:tcPr>
          <w:p>
            <w:pPr>
              <w:spacing w:line="260" w:lineRule="exact"/>
              <w:ind w:firstLine="0" w:firstLineChars="0"/>
              <w:jc w:val="center"/>
              <w:rPr>
                <w:kern w:val="0"/>
                <w:sz w:val="21"/>
                <w:szCs w:val="21"/>
              </w:rPr>
            </w:pPr>
          </w:p>
        </w:tc>
        <w:tc>
          <w:tcPr>
            <w:tcW w:w="963" w:type="dxa"/>
            <w:vMerge w:val="continue"/>
            <w:vAlign w:val="center"/>
          </w:tcPr>
          <w:p>
            <w:pPr>
              <w:spacing w:line="260" w:lineRule="exact"/>
              <w:ind w:firstLine="0" w:firstLineChars="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446" w:hRule="atLeast"/>
          <w:jc w:val="center"/>
        </w:trPr>
        <w:tc>
          <w:tcPr>
            <w:tcW w:w="2247" w:type="dxa"/>
            <w:vAlign w:val="center"/>
          </w:tcPr>
          <w:p>
            <w:pPr>
              <w:spacing w:line="260" w:lineRule="exact"/>
              <w:ind w:firstLine="0" w:firstLineChars="0"/>
              <w:jc w:val="center"/>
              <w:rPr>
                <w:kern w:val="0"/>
                <w:sz w:val="21"/>
                <w:szCs w:val="21"/>
              </w:rPr>
            </w:pPr>
            <w:r>
              <w:rPr>
                <w:rFonts w:hint="eastAsia" w:cs="仿宋_GB2312"/>
                <w:sz w:val="21"/>
                <w:szCs w:val="21"/>
              </w:rPr>
              <w:t>填表说明</w:t>
            </w:r>
          </w:p>
        </w:tc>
        <w:tc>
          <w:tcPr>
            <w:tcW w:w="1147"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1</w:t>
            </w:r>
            <w:r>
              <w:rPr>
                <w:rFonts w:hint="eastAsia" w:cs="仿宋_GB2312"/>
                <w:kern w:val="0"/>
                <w:sz w:val="21"/>
                <w:szCs w:val="21"/>
              </w:rPr>
              <w:t>）</w:t>
            </w:r>
          </w:p>
        </w:tc>
        <w:tc>
          <w:tcPr>
            <w:tcW w:w="1000"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1</w:t>
            </w:r>
            <w:r>
              <w:rPr>
                <w:rFonts w:hint="eastAsia" w:cs="仿宋_GB2312"/>
                <w:kern w:val="0"/>
                <w:sz w:val="21"/>
                <w:szCs w:val="21"/>
              </w:rPr>
              <w:t>）</w:t>
            </w:r>
          </w:p>
        </w:tc>
        <w:tc>
          <w:tcPr>
            <w:tcW w:w="1142"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2</w:t>
            </w:r>
            <w:r>
              <w:rPr>
                <w:rFonts w:hint="eastAsia" w:cs="仿宋_GB2312"/>
                <w:kern w:val="0"/>
                <w:sz w:val="21"/>
                <w:szCs w:val="21"/>
              </w:rPr>
              <w:t>）</w:t>
            </w:r>
          </w:p>
        </w:tc>
        <w:tc>
          <w:tcPr>
            <w:tcW w:w="1127"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3</w:t>
            </w:r>
            <w:r>
              <w:rPr>
                <w:rFonts w:hint="eastAsia" w:cs="仿宋_GB2312"/>
                <w:kern w:val="0"/>
                <w:sz w:val="21"/>
                <w:szCs w:val="21"/>
              </w:rPr>
              <w:t>）</w:t>
            </w:r>
          </w:p>
        </w:tc>
        <w:tc>
          <w:tcPr>
            <w:tcW w:w="1195"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4</w:t>
            </w:r>
            <w:r>
              <w:rPr>
                <w:rFonts w:hint="eastAsia" w:cs="仿宋_GB2312"/>
                <w:kern w:val="0"/>
                <w:sz w:val="21"/>
                <w:szCs w:val="21"/>
              </w:rPr>
              <w:t>）</w:t>
            </w:r>
          </w:p>
        </w:tc>
        <w:tc>
          <w:tcPr>
            <w:tcW w:w="1102"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5</w:t>
            </w:r>
            <w:r>
              <w:rPr>
                <w:rFonts w:hint="eastAsia" w:cs="仿宋_GB2312"/>
                <w:kern w:val="0"/>
                <w:sz w:val="21"/>
                <w:szCs w:val="21"/>
              </w:rPr>
              <w:t>）</w:t>
            </w:r>
          </w:p>
        </w:tc>
        <w:tc>
          <w:tcPr>
            <w:tcW w:w="1266"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2</w:t>
            </w:r>
            <w:r>
              <w:rPr>
                <w:rFonts w:hint="eastAsia" w:cs="仿宋_GB2312"/>
                <w:kern w:val="0"/>
                <w:sz w:val="21"/>
                <w:szCs w:val="21"/>
              </w:rPr>
              <w:t>）</w:t>
            </w:r>
          </w:p>
        </w:tc>
        <w:tc>
          <w:tcPr>
            <w:tcW w:w="943"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3</w:t>
            </w:r>
            <w:r>
              <w:rPr>
                <w:rFonts w:hint="eastAsia" w:cs="仿宋_GB2312"/>
                <w:kern w:val="0"/>
                <w:sz w:val="21"/>
                <w:szCs w:val="21"/>
              </w:rPr>
              <w:t>）</w:t>
            </w:r>
          </w:p>
        </w:tc>
        <w:tc>
          <w:tcPr>
            <w:tcW w:w="1214"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4</w:t>
            </w:r>
            <w:r>
              <w:rPr>
                <w:rFonts w:hint="eastAsia" w:cs="仿宋_GB2312"/>
                <w:kern w:val="0"/>
                <w:sz w:val="21"/>
                <w:szCs w:val="21"/>
              </w:rPr>
              <w:t>）</w:t>
            </w:r>
          </w:p>
        </w:tc>
        <w:tc>
          <w:tcPr>
            <w:tcW w:w="1000"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6</w:t>
            </w:r>
            <w:r>
              <w:rPr>
                <w:rFonts w:hint="eastAsia" w:cs="仿宋_GB2312"/>
                <w:kern w:val="0"/>
                <w:sz w:val="21"/>
                <w:szCs w:val="21"/>
              </w:rPr>
              <w:t>）</w:t>
            </w:r>
          </w:p>
        </w:tc>
        <w:tc>
          <w:tcPr>
            <w:tcW w:w="963" w:type="dxa"/>
            <w:vAlign w:val="center"/>
          </w:tcPr>
          <w:p>
            <w:pPr>
              <w:spacing w:line="260" w:lineRule="exact"/>
              <w:ind w:firstLine="0" w:firstLineChars="0"/>
              <w:jc w:val="center"/>
              <w:rPr>
                <w:kern w:val="0"/>
                <w:sz w:val="21"/>
                <w:szCs w:val="21"/>
              </w:rPr>
            </w:pPr>
            <w:r>
              <w:rPr>
                <w:rFonts w:hint="eastAsia" w:cs="仿宋_GB2312"/>
                <w:kern w:val="0"/>
                <w:sz w:val="21"/>
                <w:szCs w:val="21"/>
              </w:rPr>
              <w:t>（</w:t>
            </w:r>
            <w:r>
              <w:rPr>
                <w:kern w:val="0"/>
                <w:sz w:val="21"/>
                <w:szCs w:val="21"/>
              </w:rPr>
              <w:t>7</w:t>
            </w:r>
            <w:r>
              <w:rPr>
                <w:rFonts w:hint="eastAsia"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695" w:hRule="atLeast"/>
          <w:jc w:val="center"/>
        </w:trPr>
        <w:tc>
          <w:tcPr>
            <w:tcW w:w="0" w:type="auto"/>
            <w:vAlign w:val="center"/>
          </w:tcPr>
          <w:p>
            <w:pPr>
              <w:spacing w:line="300" w:lineRule="exact"/>
              <w:ind w:firstLine="0" w:firstLineChars="0"/>
              <w:jc w:val="center"/>
              <w:rPr>
                <w:rFonts w:hint="eastAsia" w:ascii="仿宋_GB2312" w:hAnsi="仿宋_GB2312" w:cs="仿宋_GB2312"/>
                <w:sz w:val="21"/>
                <w:szCs w:val="21"/>
              </w:rPr>
            </w:pPr>
            <w:r>
              <w:rPr>
                <w:rFonts w:hint="eastAsia" w:ascii="仿宋_GB2312" w:hAnsi="仿宋_GB2312" w:cs="仿宋_GB2312"/>
                <w:sz w:val="21"/>
                <w:szCs w:val="21"/>
              </w:rPr>
              <w:t>小型水库工程设施</w:t>
            </w:r>
          </w:p>
          <w:p>
            <w:pPr>
              <w:spacing w:line="300" w:lineRule="exact"/>
              <w:ind w:firstLine="0" w:firstLineChars="0"/>
              <w:jc w:val="center"/>
              <w:rPr>
                <w:sz w:val="21"/>
                <w:szCs w:val="21"/>
              </w:rPr>
            </w:pPr>
            <w:r>
              <w:rPr>
                <w:rFonts w:hint="eastAsia" w:ascii="仿宋_GB2312" w:hAnsi="仿宋_GB2312" w:cs="仿宋_GB2312"/>
                <w:sz w:val="21"/>
                <w:szCs w:val="21"/>
              </w:rPr>
              <w:t>维修养护</w:t>
            </w:r>
          </w:p>
        </w:tc>
        <w:tc>
          <w:tcPr>
            <w:tcW w:w="0" w:type="auto"/>
            <w:vAlign w:val="center"/>
          </w:tcPr>
          <w:p>
            <w:pPr>
              <w:spacing w:line="400" w:lineRule="exact"/>
              <w:ind w:firstLine="0" w:firstLineChars="0"/>
              <w:jc w:val="center"/>
              <w:rPr>
                <w:sz w:val="21"/>
                <w:szCs w:val="21"/>
              </w:rPr>
            </w:pPr>
            <w:r>
              <w:rPr>
                <w:rFonts w:ascii="仿宋_GB2312" w:hAnsi="仿宋_GB2312" w:cs="仿宋_GB2312"/>
                <w:sz w:val="21"/>
                <w:szCs w:val="21"/>
              </w:rPr>
              <w:t>29</w:t>
            </w:r>
          </w:p>
        </w:tc>
        <w:tc>
          <w:tcPr>
            <w:tcW w:w="0" w:type="auto"/>
            <w:vAlign w:val="center"/>
          </w:tcPr>
          <w:p>
            <w:pPr>
              <w:ind w:firstLine="0" w:firstLineChars="0"/>
              <w:jc w:val="center"/>
              <w:rPr>
                <w:sz w:val="21"/>
                <w:szCs w:val="21"/>
              </w:rPr>
            </w:pPr>
            <w:r>
              <w:rPr>
                <w:rFonts w:ascii="仿宋_GB2312" w:hAnsi="仿宋_GB2312" w:cs="仿宋_GB2312"/>
                <w:sz w:val="21"/>
                <w:szCs w:val="21"/>
              </w:rPr>
              <w:t>29</w:t>
            </w:r>
          </w:p>
        </w:tc>
        <w:tc>
          <w:tcPr>
            <w:tcW w:w="0" w:type="auto"/>
            <w:vAlign w:val="center"/>
          </w:tcPr>
          <w:p>
            <w:pPr>
              <w:ind w:firstLine="0" w:firstLineChars="0"/>
              <w:jc w:val="center"/>
              <w:rPr>
                <w:sz w:val="21"/>
                <w:szCs w:val="21"/>
              </w:rPr>
            </w:pPr>
            <w:r>
              <w:rPr>
                <w:rFonts w:ascii="仿宋_GB2312" w:hAnsi="仿宋_GB2312" w:cs="仿宋_GB2312"/>
                <w:sz w:val="21"/>
                <w:szCs w:val="21"/>
              </w:rPr>
              <w:t>29</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29</w:t>
            </w:r>
          </w:p>
        </w:tc>
        <w:tc>
          <w:tcPr>
            <w:tcW w:w="0" w:type="auto"/>
            <w:vAlign w:val="center"/>
          </w:tcPr>
          <w:p>
            <w:pPr>
              <w:ind w:firstLine="0" w:firstLineChars="0"/>
              <w:jc w:val="center"/>
              <w:rPr>
                <w:sz w:val="21"/>
                <w:szCs w:val="21"/>
              </w:rPr>
            </w:pPr>
            <w:r>
              <w:rPr>
                <w:rFonts w:ascii="仿宋_GB2312" w:hAnsi="仿宋_GB2312" w:cs="仿宋_GB2312"/>
                <w:sz w:val="21"/>
                <w:szCs w:val="21"/>
              </w:rPr>
              <w:t>29</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691" w:hRule="atLeast"/>
          <w:jc w:val="center"/>
        </w:trPr>
        <w:tc>
          <w:tcPr>
            <w:tcW w:w="0" w:type="auto"/>
            <w:vAlign w:val="center"/>
          </w:tcPr>
          <w:p>
            <w:pPr>
              <w:spacing w:line="300" w:lineRule="exact"/>
              <w:ind w:firstLine="0" w:firstLineChars="0"/>
              <w:jc w:val="center"/>
              <w:rPr>
                <w:sz w:val="21"/>
                <w:szCs w:val="21"/>
              </w:rPr>
            </w:pPr>
            <w:r>
              <w:rPr>
                <w:rFonts w:hint="eastAsia" w:ascii="仿宋_GB2312" w:hAnsi="仿宋_GB2312" w:cs="仿宋_GB2312"/>
                <w:sz w:val="21"/>
                <w:szCs w:val="21"/>
              </w:rPr>
              <w:t>农业水价综合改革</w:t>
            </w:r>
          </w:p>
        </w:tc>
        <w:tc>
          <w:tcPr>
            <w:tcW w:w="0" w:type="auto"/>
            <w:vAlign w:val="center"/>
          </w:tcPr>
          <w:p>
            <w:pPr>
              <w:spacing w:line="400" w:lineRule="exact"/>
              <w:ind w:firstLine="0" w:firstLineChars="0"/>
              <w:jc w:val="center"/>
              <w:rPr>
                <w:sz w:val="21"/>
                <w:szCs w:val="21"/>
              </w:rPr>
            </w:pPr>
            <w:r>
              <w:rPr>
                <w:rFonts w:ascii="仿宋_GB2312" w:hAnsi="仿宋_GB2312" w:cs="仿宋_GB2312"/>
                <w:sz w:val="21"/>
                <w:szCs w:val="21"/>
              </w:rPr>
              <w:t>5</w:t>
            </w:r>
          </w:p>
        </w:tc>
        <w:tc>
          <w:tcPr>
            <w:tcW w:w="0" w:type="auto"/>
            <w:vAlign w:val="center"/>
          </w:tcPr>
          <w:p>
            <w:pPr>
              <w:ind w:firstLine="0" w:firstLineChars="0"/>
              <w:jc w:val="center"/>
              <w:rPr>
                <w:sz w:val="21"/>
                <w:szCs w:val="21"/>
              </w:rPr>
            </w:pPr>
            <w:r>
              <w:rPr>
                <w:rFonts w:ascii="仿宋_GB2312" w:hAnsi="仿宋_GB2312" w:cs="仿宋_GB2312"/>
                <w:sz w:val="21"/>
                <w:szCs w:val="21"/>
              </w:rPr>
              <w:t>5</w:t>
            </w:r>
          </w:p>
        </w:tc>
        <w:tc>
          <w:tcPr>
            <w:tcW w:w="0" w:type="auto"/>
            <w:vAlign w:val="center"/>
          </w:tcPr>
          <w:p>
            <w:pPr>
              <w:ind w:firstLine="0" w:firstLineChars="0"/>
              <w:jc w:val="center"/>
              <w:rPr>
                <w:sz w:val="21"/>
                <w:szCs w:val="21"/>
              </w:rPr>
            </w:pPr>
            <w:r>
              <w:rPr>
                <w:rFonts w:ascii="仿宋_GB2312" w:hAnsi="仿宋_GB2312" w:cs="仿宋_GB2312"/>
                <w:sz w:val="21"/>
                <w:szCs w:val="21"/>
              </w:rPr>
              <w:t>5</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5</w:t>
            </w:r>
          </w:p>
        </w:tc>
        <w:tc>
          <w:tcPr>
            <w:tcW w:w="0" w:type="auto"/>
            <w:vAlign w:val="center"/>
          </w:tcPr>
          <w:p>
            <w:pPr>
              <w:ind w:firstLine="0" w:firstLineChars="0"/>
              <w:jc w:val="center"/>
              <w:rPr>
                <w:sz w:val="21"/>
                <w:szCs w:val="21"/>
              </w:rPr>
            </w:pPr>
            <w:r>
              <w:rPr>
                <w:rFonts w:ascii="仿宋_GB2312" w:hAnsi="仿宋_GB2312" w:cs="仿宋_GB2312"/>
                <w:sz w:val="21"/>
                <w:szCs w:val="21"/>
              </w:rPr>
              <w:t>5</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r>
    </w:tbl>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sz w:val="21"/>
          <w:szCs w:val="21"/>
        </w:rPr>
      </w:pPr>
      <w:r>
        <w:rPr>
          <w:rFonts w:hint="eastAsia" w:cs="仿宋_GB2312"/>
          <w:sz w:val="21"/>
          <w:szCs w:val="21"/>
        </w:rPr>
        <w:t>注：中央和省级财政资金到位率</w:t>
      </w:r>
      <w:r>
        <w:rPr>
          <w:sz w:val="21"/>
          <w:szCs w:val="21"/>
        </w:rPr>
        <w:t>=</w:t>
      </w:r>
      <w:r>
        <w:rPr>
          <w:rFonts w:hint="eastAsia" w:cs="仿宋_GB2312"/>
          <w:sz w:val="21"/>
          <w:szCs w:val="21"/>
        </w:rPr>
        <w:t>（中央</w:t>
      </w:r>
      <w:r>
        <w:rPr>
          <w:sz w:val="21"/>
          <w:szCs w:val="21"/>
        </w:rPr>
        <w:t>+</w:t>
      </w:r>
      <w:r>
        <w:rPr>
          <w:rFonts w:hint="eastAsia" w:cs="仿宋_GB2312"/>
          <w:sz w:val="21"/>
          <w:szCs w:val="21"/>
        </w:rPr>
        <w:t>省级财政到位资金）</w:t>
      </w:r>
      <w:r>
        <w:rPr>
          <w:sz w:val="21"/>
          <w:szCs w:val="21"/>
        </w:rPr>
        <w:t>/</w:t>
      </w:r>
      <w:r>
        <w:rPr>
          <w:rFonts w:hint="eastAsia" w:cs="仿宋_GB2312"/>
          <w:sz w:val="21"/>
          <w:szCs w:val="21"/>
        </w:rPr>
        <w:t>（中央</w:t>
      </w:r>
      <w:r>
        <w:rPr>
          <w:sz w:val="21"/>
          <w:szCs w:val="21"/>
        </w:rPr>
        <w:t>+</w:t>
      </w:r>
      <w:r>
        <w:rPr>
          <w:rFonts w:hint="eastAsia" w:cs="仿宋_GB2312"/>
          <w:sz w:val="21"/>
          <w:szCs w:val="21"/>
        </w:rPr>
        <w:t>省级资金预算数）</w:t>
      </w:r>
    </w:p>
    <w:p>
      <w:pPr>
        <w:keepNext w:val="0"/>
        <w:keepLines w:val="0"/>
        <w:pageBreakBefore w:val="0"/>
        <w:widowControl/>
        <w:kinsoku/>
        <w:wordWrap/>
        <w:overflowPunct/>
        <w:topLinePunct w:val="0"/>
        <w:autoSpaceDE/>
        <w:autoSpaceDN/>
        <w:bidi w:val="0"/>
        <w:adjustRightInd/>
        <w:snapToGrid/>
        <w:spacing w:line="400" w:lineRule="exact"/>
        <w:ind w:firstLine="31680"/>
        <w:textAlignment w:val="auto"/>
        <w:rPr>
          <w:sz w:val="21"/>
          <w:szCs w:val="21"/>
        </w:rPr>
      </w:pPr>
      <w:r>
        <w:rPr>
          <w:rFonts w:hint="eastAsia" w:cs="仿宋_GB2312"/>
          <w:sz w:val="21"/>
          <w:szCs w:val="21"/>
        </w:rPr>
        <w:t>市县财政资金到位率</w:t>
      </w:r>
      <w:r>
        <w:rPr>
          <w:sz w:val="21"/>
          <w:szCs w:val="21"/>
        </w:rPr>
        <w:t>=</w:t>
      </w:r>
      <w:r>
        <w:rPr>
          <w:rFonts w:hint="eastAsia" w:cs="仿宋_GB2312"/>
          <w:sz w:val="21"/>
          <w:szCs w:val="21"/>
        </w:rPr>
        <w:t>市县财政到位资金</w:t>
      </w:r>
      <w:r>
        <w:rPr>
          <w:sz w:val="21"/>
          <w:szCs w:val="21"/>
        </w:rPr>
        <w:t>/</w:t>
      </w:r>
      <w:r>
        <w:rPr>
          <w:rFonts w:hint="eastAsia" w:cs="仿宋_GB2312"/>
          <w:sz w:val="21"/>
          <w:szCs w:val="21"/>
        </w:rPr>
        <w:t>市县财政资金预算数</w:t>
      </w:r>
    </w:p>
    <w:p>
      <w:pPr>
        <w:keepNext w:val="0"/>
        <w:keepLines w:val="0"/>
        <w:pageBreakBefore w:val="0"/>
        <w:widowControl/>
        <w:kinsoku/>
        <w:wordWrap/>
        <w:overflowPunct/>
        <w:topLinePunct w:val="0"/>
        <w:autoSpaceDE/>
        <w:autoSpaceDN/>
        <w:bidi w:val="0"/>
        <w:adjustRightInd/>
        <w:snapToGrid/>
        <w:spacing w:line="400" w:lineRule="exact"/>
        <w:ind w:left="0" w:leftChars="0" w:firstLine="420" w:firstLineChars="200"/>
        <w:textAlignment w:val="auto"/>
        <w:rPr>
          <w:rFonts w:hint="eastAsia"/>
          <w:sz w:val="21"/>
          <w:szCs w:val="21"/>
          <w:lang w:eastAsia="zh-CN"/>
        </w:rPr>
      </w:pPr>
      <w:r>
        <w:rPr>
          <w:rFonts w:hint="eastAsia" w:cs="仿宋_GB2312"/>
          <w:sz w:val="21"/>
          <w:szCs w:val="21"/>
        </w:rPr>
        <w:t>填表说明：（</w:t>
      </w:r>
      <w:r>
        <w:rPr>
          <w:sz w:val="21"/>
          <w:szCs w:val="21"/>
        </w:rPr>
        <w:t>1</w:t>
      </w:r>
      <w:r>
        <w:rPr>
          <w:rFonts w:hint="eastAsia" w:cs="仿宋_GB2312"/>
          <w:sz w:val="21"/>
          <w:szCs w:val="21"/>
        </w:rPr>
        <w:t>）</w:t>
      </w:r>
      <w:r>
        <w:rPr>
          <w:sz w:val="21"/>
          <w:szCs w:val="21"/>
        </w:rPr>
        <w:t>=</w:t>
      </w:r>
      <w:r>
        <w:rPr>
          <w:rFonts w:hint="eastAsia" w:cs="仿宋_GB2312"/>
          <w:sz w:val="21"/>
          <w:szCs w:val="21"/>
        </w:rPr>
        <w:t>（</w:t>
      </w:r>
      <w:r>
        <w:rPr>
          <w:sz w:val="21"/>
          <w:szCs w:val="21"/>
        </w:rPr>
        <w:t>2</w:t>
      </w:r>
      <w:r>
        <w:rPr>
          <w:rFonts w:hint="eastAsia" w:cs="仿宋_GB2312"/>
          <w:sz w:val="21"/>
          <w:szCs w:val="21"/>
        </w:rPr>
        <w:t>）</w:t>
      </w:r>
      <w:r>
        <w:rPr>
          <w:sz w:val="21"/>
          <w:szCs w:val="21"/>
        </w:rPr>
        <w:t>+</w:t>
      </w:r>
      <w:r>
        <w:rPr>
          <w:rFonts w:hint="eastAsia" w:cs="仿宋_GB2312"/>
          <w:sz w:val="21"/>
          <w:szCs w:val="21"/>
        </w:rPr>
        <w:t>（</w:t>
      </w:r>
      <w:r>
        <w:rPr>
          <w:sz w:val="21"/>
          <w:szCs w:val="21"/>
        </w:rPr>
        <w:t>3</w:t>
      </w:r>
      <w:r>
        <w:rPr>
          <w:rFonts w:hint="eastAsia" w:cs="仿宋_GB2312"/>
          <w:sz w:val="21"/>
          <w:szCs w:val="21"/>
        </w:rPr>
        <w:t>）</w:t>
      </w:r>
      <w:r>
        <w:rPr>
          <w:sz w:val="21"/>
          <w:szCs w:val="21"/>
        </w:rPr>
        <w:t>+</w:t>
      </w:r>
      <w:r>
        <w:rPr>
          <w:rFonts w:hint="eastAsia" w:cs="仿宋_GB2312"/>
          <w:sz w:val="21"/>
          <w:szCs w:val="21"/>
        </w:rPr>
        <w:t>（</w:t>
      </w:r>
      <w:r>
        <w:rPr>
          <w:sz w:val="21"/>
          <w:szCs w:val="21"/>
        </w:rPr>
        <w:t>4</w:t>
      </w:r>
      <w:r>
        <w:rPr>
          <w:rFonts w:hint="eastAsia" w:cs="仿宋_GB2312"/>
          <w:sz w:val="21"/>
          <w:szCs w:val="21"/>
        </w:rPr>
        <w:t>）</w:t>
      </w:r>
      <w:r>
        <w:rPr>
          <w:sz w:val="21"/>
          <w:szCs w:val="21"/>
        </w:rPr>
        <w:t>+</w:t>
      </w:r>
      <w:r>
        <w:rPr>
          <w:rFonts w:hint="eastAsia" w:cs="仿宋_GB2312"/>
          <w:sz w:val="21"/>
          <w:szCs w:val="21"/>
        </w:rPr>
        <w:t>其他资金；（</w:t>
      </w:r>
      <w:r>
        <w:rPr>
          <w:sz w:val="21"/>
          <w:szCs w:val="21"/>
        </w:rPr>
        <w:t>5</w:t>
      </w:r>
      <w:r>
        <w:rPr>
          <w:rFonts w:hint="eastAsia" w:cs="仿宋_GB2312"/>
          <w:sz w:val="21"/>
          <w:szCs w:val="21"/>
        </w:rPr>
        <w:t>）</w:t>
      </w:r>
      <w:r>
        <w:rPr>
          <w:sz w:val="21"/>
          <w:szCs w:val="21"/>
        </w:rPr>
        <w:t>=</w:t>
      </w:r>
      <w:r>
        <w:rPr>
          <w:rFonts w:hint="eastAsia" w:cs="仿宋_GB2312"/>
          <w:sz w:val="21"/>
          <w:szCs w:val="21"/>
        </w:rPr>
        <w:t>（</w:t>
      </w:r>
      <w:r>
        <w:rPr>
          <w:sz w:val="21"/>
          <w:szCs w:val="21"/>
        </w:rPr>
        <w:t>2</w:t>
      </w:r>
      <w:r>
        <w:rPr>
          <w:rFonts w:hint="eastAsia" w:cs="仿宋_GB2312"/>
          <w:sz w:val="21"/>
          <w:szCs w:val="21"/>
        </w:rPr>
        <w:t>）</w:t>
      </w:r>
      <w:r>
        <w:rPr>
          <w:sz w:val="21"/>
          <w:szCs w:val="21"/>
        </w:rPr>
        <w:t>+</w:t>
      </w:r>
      <w:r>
        <w:rPr>
          <w:rFonts w:hint="eastAsia" w:cs="仿宋_GB2312"/>
          <w:sz w:val="21"/>
          <w:szCs w:val="21"/>
        </w:rPr>
        <w:t>（</w:t>
      </w:r>
      <w:r>
        <w:rPr>
          <w:sz w:val="21"/>
          <w:szCs w:val="21"/>
        </w:rPr>
        <w:t>3</w:t>
      </w:r>
      <w:r>
        <w:rPr>
          <w:rFonts w:hint="eastAsia" w:cs="仿宋_GB2312"/>
          <w:sz w:val="21"/>
          <w:szCs w:val="21"/>
        </w:rPr>
        <w:t>）</w:t>
      </w:r>
      <w:r>
        <w:rPr>
          <w:sz w:val="21"/>
          <w:szCs w:val="21"/>
        </w:rPr>
        <w:t>+</w:t>
      </w:r>
      <w:r>
        <w:rPr>
          <w:rFonts w:hint="eastAsia" w:cs="仿宋_GB2312"/>
          <w:sz w:val="21"/>
          <w:szCs w:val="21"/>
        </w:rPr>
        <w:t>（</w:t>
      </w:r>
      <w:r>
        <w:rPr>
          <w:sz w:val="21"/>
          <w:szCs w:val="21"/>
        </w:rPr>
        <w:t>4</w:t>
      </w:r>
      <w:r>
        <w:rPr>
          <w:rFonts w:hint="eastAsia" w:cs="仿宋_GB2312"/>
          <w:sz w:val="21"/>
          <w:szCs w:val="21"/>
        </w:rPr>
        <w:t>）；（</w:t>
      </w:r>
      <w:r>
        <w:rPr>
          <w:sz w:val="21"/>
          <w:szCs w:val="21"/>
        </w:rPr>
        <w:t>6</w:t>
      </w:r>
      <w:r>
        <w:rPr>
          <w:rFonts w:hint="eastAsia" w:cs="仿宋_GB2312"/>
          <w:sz w:val="21"/>
          <w:szCs w:val="21"/>
        </w:rPr>
        <w:t>）</w:t>
      </w:r>
      <w:r>
        <w:rPr>
          <w:sz w:val="21"/>
          <w:szCs w:val="21"/>
        </w:rPr>
        <w:t>=</w:t>
      </w:r>
      <w:r>
        <w:rPr>
          <w:rFonts w:hint="eastAsia" w:cs="仿宋_GB2312"/>
          <w:sz w:val="21"/>
          <w:szCs w:val="21"/>
        </w:rPr>
        <w:t>（</w:t>
      </w:r>
      <w:r>
        <w:rPr>
          <w:sz w:val="21"/>
          <w:szCs w:val="21"/>
        </w:rPr>
        <w:t>2</w:t>
      </w:r>
      <w:r>
        <w:rPr>
          <w:rFonts w:hint="eastAsia" w:cs="仿宋_GB2312"/>
          <w:sz w:val="21"/>
          <w:szCs w:val="21"/>
        </w:rPr>
        <w:t>）</w:t>
      </w:r>
      <w:r>
        <w:rPr>
          <w:sz w:val="21"/>
          <w:szCs w:val="21"/>
        </w:rPr>
        <w:t>+</w:t>
      </w:r>
      <w:r>
        <w:rPr>
          <w:rFonts w:hint="eastAsia" w:cs="仿宋_GB2312"/>
          <w:sz w:val="21"/>
          <w:szCs w:val="21"/>
        </w:rPr>
        <w:t>（</w:t>
      </w:r>
      <w:r>
        <w:rPr>
          <w:sz w:val="21"/>
          <w:szCs w:val="21"/>
        </w:rPr>
        <w:t>3</w:t>
      </w:r>
      <w:r>
        <w:rPr>
          <w:rFonts w:hint="eastAsia" w:cs="仿宋_GB2312"/>
          <w:sz w:val="21"/>
          <w:szCs w:val="21"/>
        </w:rPr>
        <w:t>）</w:t>
      </w:r>
      <w:r>
        <w:rPr>
          <w:sz w:val="21"/>
          <w:szCs w:val="21"/>
        </w:rPr>
        <w:t>/</w:t>
      </w:r>
      <w:r>
        <w:rPr>
          <w:rFonts w:hint="eastAsia" w:cs="仿宋_GB2312"/>
          <w:sz w:val="21"/>
          <w:szCs w:val="21"/>
        </w:rPr>
        <w:t>（</w:t>
      </w:r>
      <w:r>
        <w:rPr>
          <w:sz w:val="21"/>
          <w:szCs w:val="21"/>
        </w:rPr>
        <w:t>2</w:t>
      </w:r>
      <w:r>
        <w:rPr>
          <w:rFonts w:hint="eastAsia" w:cs="仿宋_GB2312"/>
          <w:sz w:val="21"/>
          <w:szCs w:val="21"/>
        </w:rPr>
        <w:t>）</w:t>
      </w:r>
      <w:r>
        <w:rPr>
          <w:sz w:val="21"/>
          <w:szCs w:val="21"/>
        </w:rPr>
        <w:t>+</w:t>
      </w:r>
      <w:r>
        <w:rPr>
          <w:rFonts w:hint="eastAsia" w:cs="仿宋_GB2312"/>
          <w:sz w:val="21"/>
          <w:szCs w:val="21"/>
        </w:rPr>
        <w:t>（</w:t>
      </w:r>
      <w:r>
        <w:rPr>
          <w:sz w:val="21"/>
          <w:szCs w:val="21"/>
        </w:rPr>
        <w:t>3</w:t>
      </w:r>
      <w:r>
        <w:rPr>
          <w:rFonts w:hint="eastAsia" w:cs="仿宋_GB2312"/>
          <w:sz w:val="21"/>
          <w:szCs w:val="21"/>
        </w:rPr>
        <w:t>）；（</w:t>
      </w:r>
      <w:r>
        <w:rPr>
          <w:sz w:val="21"/>
          <w:szCs w:val="21"/>
        </w:rPr>
        <w:t>7</w:t>
      </w:r>
      <w:r>
        <w:rPr>
          <w:rFonts w:hint="eastAsia" w:cs="仿宋_GB2312"/>
          <w:sz w:val="21"/>
          <w:szCs w:val="21"/>
        </w:rPr>
        <w:t>）</w:t>
      </w:r>
      <w:r>
        <w:rPr>
          <w:sz w:val="21"/>
          <w:szCs w:val="21"/>
        </w:rPr>
        <w:t>=</w:t>
      </w:r>
      <w:r>
        <w:rPr>
          <w:rFonts w:hint="eastAsia" w:cs="仿宋_GB2312"/>
          <w:sz w:val="21"/>
          <w:szCs w:val="21"/>
        </w:rPr>
        <w:t>（</w:t>
      </w:r>
      <w:r>
        <w:rPr>
          <w:sz w:val="21"/>
          <w:szCs w:val="21"/>
        </w:rPr>
        <w:t>4</w:t>
      </w:r>
      <w:r>
        <w:rPr>
          <w:rFonts w:hint="eastAsia" w:cs="仿宋_GB2312"/>
          <w:sz w:val="21"/>
          <w:szCs w:val="21"/>
        </w:rPr>
        <w:t>）</w:t>
      </w:r>
      <w:r>
        <w:rPr>
          <w:sz w:val="21"/>
          <w:szCs w:val="21"/>
        </w:rPr>
        <w:t>/</w:t>
      </w:r>
      <w:r>
        <w:rPr>
          <w:rFonts w:hint="eastAsia" w:cs="仿宋_GB2312"/>
          <w:sz w:val="21"/>
          <w:szCs w:val="21"/>
        </w:rPr>
        <w:t>（</w:t>
      </w:r>
      <w:r>
        <w:rPr>
          <w:sz w:val="21"/>
          <w:szCs w:val="21"/>
        </w:rPr>
        <w:t>4</w:t>
      </w:r>
      <w:r>
        <w:rPr>
          <w:rFonts w:hint="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400" w:lineRule="exact"/>
        <w:ind w:left="0" w:leftChars="0" w:firstLine="420" w:firstLineChars="200"/>
        <w:textAlignment w:val="auto"/>
        <w:rPr>
          <w:rFonts w:hint="eastAsia"/>
          <w:sz w:val="21"/>
          <w:szCs w:val="21"/>
          <w:lang w:eastAsia="zh-CN"/>
        </w:rPr>
      </w:pPr>
    </w:p>
    <w:p>
      <w:pPr>
        <w:keepNext w:val="0"/>
        <w:keepLines w:val="0"/>
        <w:pageBreakBefore w:val="0"/>
        <w:widowControl/>
        <w:kinsoku/>
        <w:wordWrap/>
        <w:overflowPunct/>
        <w:topLinePunct w:val="0"/>
        <w:autoSpaceDE/>
        <w:autoSpaceDN/>
        <w:bidi w:val="0"/>
        <w:adjustRightInd/>
        <w:snapToGrid/>
        <w:spacing w:line="400" w:lineRule="exact"/>
        <w:ind w:left="0" w:leftChars="0" w:firstLine="643" w:firstLineChars="200"/>
        <w:textAlignment w:val="auto"/>
        <w:rPr>
          <w:rFonts w:ascii="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资金执行情况</w:t>
      </w:r>
    </w:p>
    <w:p>
      <w:pPr>
        <w:keepNext w:val="0"/>
        <w:keepLines w:val="0"/>
        <w:pageBreakBefore w:val="0"/>
        <w:widowControl/>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年度，批复预算投资</w:t>
      </w:r>
      <w:r>
        <w:rPr>
          <w:rFonts w:ascii="仿宋_GB2312" w:hAnsi="仿宋_GB2312" w:cs="仿宋_GB2312"/>
          <w:sz w:val="32"/>
          <w:szCs w:val="32"/>
        </w:rPr>
        <w:t>34</w:t>
      </w:r>
      <w:r>
        <w:rPr>
          <w:rFonts w:hint="eastAsia" w:ascii="仿宋_GB2312" w:hAnsi="仿宋_GB2312" w:cs="仿宋_GB2312"/>
          <w:sz w:val="32"/>
          <w:szCs w:val="32"/>
        </w:rPr>
        <w:t>万元。</w:t>
      </w:r>
    </w:p>
    <w:p>
      <w:pPr>
        <w:keepNext w:val="0"/>
        <w:keepLines w:val="0"/>
        <w:pageBreakBefore w:val="0"/>
        <w:widowControl/>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hint="eastAsia" w:ascii="仿宋_GB2312" w:hAnsi="仿宋_GB2312" w:cs="仿宋_GB2312"/>
          <w:sz w:val="32"/>
          <w:szCs w:val="32"/>
        </w:rPr>
        <w:t>截至</w:t>
      </w:r>
      <w:r>
        <w:rPr>
          <w:rFonts w:ascii="仿宋_GB2312" w:hAnsi="仿宋_GB2312" w:cs="仿宋_GB2312"/>
          <w:sz w:val="32"/>
          <w:szCs w:val="32"/>
        </w:rPr>
        <w:t>2023</w:t>
      </w:r>
      <w:r>
        <w:rPr>
          <w:rFonts w:hint="eastAsia" w:ascii="仿宋_GB2312" w:hAnsi="仿宋_GB2312" w:cs="仿宋_GB2312"/>
          <w:sz w:val="32"/>
          <w:szCs w:val="32"/>
        </w:rPr>
        <w:t>年</w:t>
      </w:r>
      <w:r>
        <w:rPr>
          <w:rFonts w:ascii="仿宋_GB2312" w:hAnsi="仿宋_GB2312" w:cs="仿宋_GB2312"/>
          <w:sz w:val="32"/>
          <w:szCs w:val="32"/>
        </w:rPr>
        <w:t>12</w:t>
      </w:r>
      <w:r>
        <w:rPr>
          <w:rFonts w:hint="eastAsia" w:ascii="仿宋_GB2312" w:hAnsi="仿宋_GB2312" w:cs="仿宋_GB2312"/>
          <w:sz w:val="32"/>
          <w:szCs w:val="32"/>
        </w:rPr>
        <w:t>月底，共完成投资</w:t>
      </w:r>
      <w:r>
        <w:rPr>
          <w:rFonts w:ascii="仿宋_GB2312" w:hAnsi="仿宋_GB2312" w:cs="仿宋_GB2312"/>
          <w:sz w:val="32"/>
          <w:szCs w:val="32"/>
        </w:rPr>
        <w:t>34</w:t>
      </w:r>
      <w:r>
        <w:rPr>
          <w:rFonts w:hint="eastAsia" w:ascii="仿宋_GB2312" w:hAnsi="仿宋_GB2312" w:cs="仿宋_GB2312"/>
          <w:sz w:val="32"/>
          <w:szCs w:val="32"/>
        </w:rPr>
        <w:t>万元（中央财政资金</w:t>
      </w:r>
      <w:r>
        <w:rPr>
          <w:rFonts w:ascii="仿宋_GB2312" w:hAnsi="仿宋_GB2312" w:cs="仿宋_GB2312"/>
          <w:sz w:val="32"/>
          <w:szCs w:val="32"/>
        </w:rPr>
        <w:t>34</w:t>
      </w:r>
      <w:r>
        <w:rPr>
          <w:rFonts w:hint="eastAsia" w:ascii="仿宋_GB2312" w:hAnsi="仿宋_GB2312" w:cs="仿宋_GB2312"/>
          <w:sz w:val="32"/>
          <w:szCs w:val="32"/>
        </w:rPr>
        <w:t>万元），投资完成率</w:t>
      </w:r>
      <w:r>
        <w:rPr>
          <w:rFonts w:ascii="仿宋_GB2312" w:hAnsi="仿宋_GB2312" w:cs="仿宋_GB2312"/>
          <w:sz w:val="32"/>
          <w:szCs w:val="32"/>
        </w:rPr>
        <w:t>100%</w:t>
      </w:r>
      <w:r>
        <w:rPr>
          <w:rFonts w:hint="eastAsia" w:ascii="仿宋_GB2312" w:hAnsi="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00" w:lineRule="exact"/>
        <w:ind w:firstLine="31680"/>
        <w:textAlignment w:val="auto"/>
        <w:rPr>
          <w:rFonts w:ascii="仿宋_GB2312"/>
          <w:sz w:val="32"/>
          <w:szCs w:val="32"/>
          <w:u w:val="single"/>
        </w:rPr>
      </w:pPr>
      <w:r>
        <w:rPr>
          <w:rFonts w:hint="eastAsia" w:ascii="仿宋_GB2312" w:hAnsi="仿宋_GB2312" w:cs="仿宋_GB2312"/>
          <w:sz w:val="32"/>
          <w:szCs w:val="32"/>
        </w:rPr>
        <w:t>截至</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6</w:t>
      </w:r>
      <w:r>
        <w:rPr>
          <w:rFonts w:hint="eastAsia" w:ascii="仿宋_GB2312" w:hAnsi="仿宋_GB2312" w:cs="仿宋_GB2312"/>
          <w:sz w:val="32"/>
          <w:szCs w:val="32"/>
        </w:rPr>
        <w:t>月底，共完成投资</w:t>
      </w:r>
      <w:r>
        <w:rPr>
          <w:rFonts w:ascii="仿宋_GB2312" w:hAnsi="仿宋_GB2312" w:cs="仿宋_GB2312"/>
          <w:sz w:val="32"/>
          <w:szCs w:val="32"/>
        </w:rPr>
        <w:t>34</w:t>
      </w:r>
      <w:r>
        <w:rPr>
          <w:rFonts w:hint="eastAsia" w:ascii="仿宋_GB2312" w:hAnsi="仿宋_GB2312" w:cs="仿宋_GB2312"/>
          <w:sz w:val="32"/>
          <w:szCs w:val="32"/>
        </w:rPr>
        <w:t>万元（中央财政资金</w:t>
      </w:r>
      <w:r>
        <w:rPr>
          <w:rFonts w:ascii="仿宋_GB2312" w:hAnsi="仿宋_GB2312" w:cs="仿宋_GB2312"/>
          <w:sz w:val="32"/>
          <w:szCs w:val="32"/>
        </w:rPr>
        <w:t>34</w:t>
      </w:r>
      <w:r>
        <w:rPr>
          <w:rFonts w:hint="eastAsia" w:ascii="仿宋_GB2312" w:hAnsi="仿宋_GB2312" w:cs="仿宋_GB2312"/>
          <w:sz w:val="32"/>
          <w:szCs w:val="32"/>
        </w:rPr>
        <w:t>万元），投资完成率</w:t>
      </w:r>
      <w:r>
        <w:rPr>
          <w:rFonts w:ascii="仿宋_GB2312" w:hAnsi="仿宋_GB2312" w:cs="仿宋_GB2312"/>
          <w:sz w:val="32"/>
          <w:szCs w:val="32"/>
        </w:rPr>
        <w:t>100%</w:t>
      </w:r>
      <w:r>
        <w:rPr>
          <w:rFonts w:hint="eastAsia" w:ascii="仿宋_GB2312" w:hAnsi="仿宋_GB2312" w:cs="仿宋_GB2312"/>
          <w:sz w:val="32"/>
          <w:szCs w:val="32"/>
        </w:rPr>
        <w:t>。</w:t>
      </w:r>
    </w:p>
    <w:p>
      <w:pPr>
        <w:spacing w:line="572" w:lineRule="exact"/>
        <w:ind w:firstLine="0" w:firstLineChars="0"/>
        <w:jc w:val="center"/>
        <w:rPr>
          <w:b/>
          <w:bCs/>
          <w:sz w:val="30"/>
          <w:szCs w:val="30"/>
        </w:rPr>
      </w:pPr>
      <w:r>
        <w:rPr>
          <w:rFonts w:hint="eastAsia" w:cs="仿宋_GB2312"/>
          <w:b/>
          <w:bCs/>
          <w:sz w:val="30"/>
          <w:szCs w:val="30"/>
        </w:rPr>
        <w:t>表</w:t>
      </w:r>
      <w:r>
        <w:rPr>
          <w:b/>
          <w:bCs/>
          <w:sz w:val="30"/>
          <w:szCs w:val="30"/>
        </w:rPr>
        <w:t xml:space="preserve">3 </w:t>
      </w:r>
      <w:r>
        <w:rPr>
          <w:rFonts w:ascii="仿宋_GB2312" w:hAnsi="仿宋_GB2312" w:cs="仿宋_GB2312"/>
          <w:b/>
          <w:bCs/>
          <w:sz w:val="30"/>
          <w:szCs w:val="30"/>
        </w:rPr>
        <w:t xml:space="preserve"> 2023</w:t>
      </w:r>
      <w:r>
        <w:rPr>
          <w:rFonts w:hint="eastAsia" w:cs="仿宋_GB2312"/>
          <w:b/>
          <w:bCs/>
          <w:sz w:val="30"/>
          <w:szCs w:val="30"/>
        </w:rPr>
        <w:t>年度水利发展资金执行情况表</w:t>
      </w:r>
    </w:p>
    <w:tbl>
      <w:tblPr>
        <w:tblStyle w:val="8"/>
        <w:tblW w:w="50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28" w:type="dxa"/>
        </w:tblCellMar>
      </w:tblPr>
      <w:tblGrid>
        <w:gridCol w:w="939"/>
        <w:gridCol w:w="461"/>
        <w:gridCol w:w="486"/>
        <w:gridCol w:w="421"/>
        <w:gridCol w:w="526"/>
        <w:gridCol w:w="593"/>
        <w:gridCol w:w="637"/>
        <w:gridCol w:w="593"/>
        <w:gridCol w:w="631"/>
        <w:gridCol w:w="593"/>
        <w:gridCol w:w="628"/>
        <w:gridCol w:w="544"/>
        <w:gridCol w:w="698"/>
        <w:gridCol w:w="631"/>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83" w:hRule="atLeast"/>
          <w:tblHeader/>
          <w:jc w:val="center"/>
        </w:trPr>
        <w:tc>
          <w:tcPr>
            <w:tcW w:w="518" w:type="pct"/>
            <w:vMerge w:val="restart"/>
            <w:vAlign w:val="center"/>
          </w:tcPr>
          <w:p>
            <w:pPr>
              <w:spacing w:line="260" w:lineRule="exact"/>
              <w:ind w:firstLine="0" w:firstLineChars="0"/>
              <w:jc w:val="center"/>
              <w:rPr>
                <w:kern w:val="0"/>
                <w:sz w:val="21"/>
                <w:szCs w:val="21"/>
              </w:rPr>
            </w:pPr>
            <w:r>
              <w:rPr>
                <w:rFonts w:hint="eastAsia" w:cs="仿宋_GB2312"/>
                <w:kern w:val="0"/>
                <w:sz w:val="21"/>
                <w:szCs w:val="21"/>
              </w:rPr>
              <w:t>分类</w:t>
            </w:r>
          </w:p>
        </w:tc>
        <w:tc>
          <w:tcPr>
            <w:tcW w:w="1044" w:type="pct"/>
            <w:gridSpan w:val="4"/>
            <w:vAlign w:val="center"/>
          </w:tcPr>
          <w:p>
            <w:pPr>
              <w:spacing w:line="260" w:lineRule="exact"/>
              <w:ind w:firstLine="0" w:firstLineChars="0"/>
              <w:jc w:val="center"/>
              <w:rPr>
                <w:kern w:val="0"/>
                <w:sz w:val="21"/>
                <w:szCs w:val="21"/>
              </w:rPr>
            </w:pPr>
            <w:r>
              <w:rPr>
                <w:rFonts w:hint="eastAsia" w:cs="仿宋_GB2312"/>
                <w:kern w:val="0"/>
                <w:sz w:val="21"/>
                <w:szCs w:val="21"/>
              </w:rPr>
              <w:t>批复投资（万元）</w:t>
            </w:r>
          </w:p>
        </w:tc>
        <w:tc>
          <w:tcPr>
            <w:tcW w:w="2711" w:type="pct"/>
            <w:gridSpan w:val="8"/>
            <w:vAlign w:val="center"/>
          </w:tcPr>
          <w:p>
            <w:pPr>
              <w:spacing w:line="260" w:lineRule="exact"/>
              <w:ind w:firstLine="0" w:firstLineChars="0"/>
              <w:jc w:val="center"/>
              <w:rPr>
                <w:kern w:val="0"/>
                <w:sz w:val="21"/>
                <w:szCs w:val="21"/>
              </w:rPr>
            </w:pPr>
            <w:r>
              <w:rPr>
                <w:rFonts w:hint="eastAsia" w:cs="仿宋_GB2312"/>
                <w:kern w:val="0"/>
                <w:sz w:val="21"/>
                <w:szCs w:val="21"/>
              </w:rPr>
              <w:t>完成投资（万元）</w:t>
            </w:r>
          </w:p>
        </w:tc>
        <w:tc>
          <w:tcPr>
            <w:tcW w:w="724" w:type="pct"/>
            <w:gridSpan w:val="2"/>
            <w:vMerge w:val="restart"/>
            <w:vAlign w:val="center"/>
          </w:tcPr>
          <w:p>
            <w:pPr>
              <w:spacing w:line="260" w:lineRule="exact"/>
              <w:ind w:firstLine="0" w:firstLineChars="0"/>
              <w:jc w:val="center"/>
              <w:rPr>
                <w:kern w:val="0"/>
                <w:sz w:val="21"/>
                <w:szCs w:val="21"/>
              </w:rPr>
            </w:pPr>
            <w:r>
              <w:rPr>
                <w:rFonts w:hint="eastAsia" w:cs="仿宋_GB2312"/>
                <w:kern w:val="0"/>
                <w:sz w:val="21"/>
                <w:szCs w:val="21"/>
              </w:rPr>
              <w:t>投资完成率（</w:t>
            </w:r>
            <w:r>
              <w:rPr>
                <w:kern w:val="0"/>
                <w:sz w:val="21"/>
                <w:szCs w:val="21"/>
              </w:rPr>
              <w:t>%</w:t>
            </w:r>
            <w:r>
              <w:rPr>
                <w:rFonts w:hint="eastAsia"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05" w:hRule="atLeast"/>
          <w:tblHeader/>
          <w:jc w:val="center"/>
        </w:trPr>
        <w:tc>
          <w:tcPr>
            <w:tcW w:w="518" w:type="pct"/>
            <w:vMerge w:val="continue"/>
            <w:vAlign w:val="center"/>
          </w:tcPr>
          <w:p>
            <w:pPr>
              <w:spacing w:line="260" w:lineRule="exact"/>
              <w:ind w:firstLine="0" w:firstLineChars="0"/>
              <w:jc w:val="center"/>
              <w:rPr>
                <w:kern w:val="0"/>
                <w:sz w:val="21"/>
                <w:szCs w:val="21"/>
              </w:rPr>
            </w:pPr>
          </w:p>
        </w:tc>
        <w:tc>
          <w:tcPr>
            <w:tcW w:w="254" w:type="pct"/>
            <w:vMerge w:val="restart"/>
            <w:vAlign w:val="center"/>
          </w:tcPr>
          <w:p>
            <w:pPr>
              <w:spacing w:line="260" w:lineRule="exact"/>
              <w:ind w:firstLine="0" w:firstLineChars="0"/>
              <w:jc w:val="center"/>
              <w:rPr>
                <w:kern w:val="0"/>
                <w:sz w:val="21"/>
                <w:szCs w:val="21"/>
              </w:rPr>
            </w:pPr>
            <w:r>
              <w:rPr>
                <w:rFonts w:hint="eastAsia" w:cs="仿宋_GB2312"/>
                <w:kern w:val="0"/>
                <w:sz w:val="21"/>
                <w:szCs w:val="21"/>
              </w:rPr>
              <w:t>中央</w:t>
            </w:r>
          </w:p>
        </w:tc>
        <w:tc>
          <w:tcPr>
            <w:tcW w:w="268" w:type="pct"/>
            <w:vMerge w:val="restart"/>
            <w:vAlign w:val="center"/>
          </w:tcPr>
          <w:p>
            <w:pPr>
              <w:spacing w:line="260" w:lineRule="exact"/>
              <w:ind w:firstLine="0" w:firstLineChars="0"/>
              <w:jc w:val="center"/>
              <w:rPr>
                <w:kern w:val="0"/>
                <w:sz w:val="21"/>
                <w:szCs w:val="21"/>
              </w:rPr>
            </w:pPr>
            <w:r>
              <w:rPr>
                <w:rFonts w:hint="eastAsia" w:cs="仿宋_GB2312"/>
                <w:kern w:val="0"/>
                <w:sz w:val="21"/>
                <w:szCs w:val="21"/>
              </w:rPr>
              <w:t>省级</w:t>
            </w:r>
          </w:p>
        </w:tc>
        <w:tc>
          <w:tcPr>
            <w:tcW w:w="232" w:type="pct"/>
            <w:vMerge w:val="restart"/>
            <w:vAlign w:val="center"/>
          </w:tcPr>
          <w:p>
            <w:pPr>
              <w:spacing w:line="260" w:lineRule="exact"/>
              <w:ind w:firstLine="0" w:firstLineChars="0"/>
              <w:jc w:val="center"/>
              <w:rPr>
                <w:kern w:val="0"/>
                <w:sz w:val="21"/>
                <w:szCs w:val="21"/>
              </w:rPr>
            </w:pPr>
            <w:r>
              <w:rPr>
                <w:rFonts w:hint="eastAsia" w:cs="仿宋_GB2312"/>
                <w:kern w:val="0"/>
                <w:sz w:val="21"/>
                <w:szCs w:val="21"/>
              </w:rPr>
              <w:t>市县</w:t>
            </w:r>
          </w:p>
        </w:tc>
        <w:tc>
          <w:tcPr>
            <w:tcW w:w="289" w:type="pct"/>
            <w:vMerge w:val="restart"/>
            <w:vAlign w:val="center"/>
          </w:tcPr>
          <w:p>
            <w:pPr>
              <w:spacing w:line="260" w:lineRule="exact"/>
              <w:ind w:firstLine="0" w:firstLineChars="0"/>
              <w:jc w:val="center"/>
              <w:rPr>
                <w:kern w:val="0"/>
                <w:sz w:val="21"/>
                <w:szCs w:val="21"/>
              </w:rPr>
            </w:pPr>
            <w:r>
              <w:rPr>
                <w:rFonts w:hint="eastAsia" w:cs="仿宋_GB2312"/>
                <w:kern w:val="0"/>
                <w:sz w:val="21"/>
                <w:szCs w:val="21"/>
              </w:rPr>
              <w:t>其他</w:t>
            </w:r>
          </w:p>
        </w:tc>
        <w:tc>
          <w:tcPr>
            <w:tcW w:w="678" w:type="pct"/>
            <w:gridSpan w:val="2"/>
            <w:vAlign w:val="center"/>
          </w:tcPr>
          <w:p>
            <w:pPr>
              <w:spacing w:line="260" w:lineRule="exact"/>
              <w:ind w:firstLine="0" w:firstLineChars="0"/>
              <w:jc w:val="center"/>
              <w:rPr>
                <w:kern w:val="0"/>
                <w:sz w:val="21"/>
                <w:szCs w:val="21"/>
              </w:rPr>
            </w:pPr>
            <w:r>
              <w:rPr>
                <w:rFonts w:hint="eastAsia" w:cs="仿宋_GB2312"/>
                <w:kern w:val="0"/>
                <w:sz w:val="21"/>
                <w:szCs w:val="21"/>
              </w:rPr>
              <w:t>中央</w:t>
            </w:r>
          </w:p>
        </w:tc>
        <w:tc>
          <w:tcPr>
            <w:tcW w:w="675" w:type="pct"/>
            <w:gridSpan w:val="2"/>
            <w:vAlign w:val="center"/>
          </w:tcPr>
          <w:p>
            <w:pPr>
              <w:spacing w:line="260" w:lineRule="exact"/>
              <w:ind w:firstLine="0" w:firstLineChars="0"/>
              <w:jc w:val="center"/>
              <w:rPr>
                <w:kern w:val="0"/>
                <w:sz w:val="21"/>
                <w:szCs w:val="21"/>
              </w:rPr>
            </w:pPr>
            <w:r>
              <w:rPr>
                <w:rFonts w:hint="eastAsia" w:cs="仿宋_GB2312"/>
                <w:kern w:val="0"/>
                <w:sz w:val="21"/>
                <w:szCs w:val="21"/>
              </w:rPr>
              <w:t>省级</w:t>
            </w:r>
          </w:p>
        </w:tc>
        <w:tc>
          <w:tcPr>
            <w:tcW w:w="673" w:type="pct"/>
            <w:gridSpan w:val="2"/>
            <w:vAlign w:val="center"/>
          </w:tcPr>
          <w:p>
            <w:pPr>
              <w:spacing w:line="260" w:lineRule="exact"/>
              <w:ind w:firstLine="0" w:firstLineChars="0"/>
              <w:jc w:val="center"/>
              <w:rPr>
                <w:kern w:val="0"/>
                <w:sz w:val="21"/>
                <w:szCs w:val="21"/>
              </w:rPr>
            </w:pPr>
            <w:r>
              <w:rPr>
                <w:rFonts w:hint="eastAsia" w:cs="仿宋_GB2312"/>
                <w:kern w:val="0"/>
                <w:sz w:val="21"/>
                <w:szCs w:val="21"/>
              </w:rPr>
              <w:t>市县</w:t>
            </w:r>
          </w:p>
        </w:tc>
        <w:tc>
          <w:tcPr>
            <w:tcW w:w="684" w:type="pct"/>
            <w:gridSpan w:val="2"/>
            <w:vAlign w:val="center"/>
          </w:tcPr>
          <w:p>
            <w:pPr>
              <w:spacing w:line="260" w:lineRule="exact"/>
              <w:ind w:firstLine="0" w:firstLineChars="0"/>
              <w:jc w:val="center"/>
              <w:rPr>
                <w:kern w:val="0"/>
                <w:sz w:val="21"/>
                <w:szCs w:val="21"/>
              </w:rPr>
            </w:pPr>
            <w:r>
              <w:rPr>
                <w:rFonts w:hint="eastAsia" w:cs="仿宋_GB2312"/>
                <w:kern w:val="0"/>
                <w:sz w:val="21"/>
                <w:szCs w:val="21"/>
              </w:rPr>
              <w:t>其他</w:t>
            </w:r>
          </w:p>
        </w:tc>
        <w:tc>
          <w:tcPr>
            <w:tcW w:w="724" w:type="pct"/>
            <w:gridSpan w:val="2"/>
            <w:vMerge w:val="continue"/>
            <w:vAlign w:val="center"/>
          </w:tcPr>
          <w:p>
            <w:pPr>
              <w:spacing w:line="260" w:lineRule="exact"/>
              <w:ind w:firstLine="0" w:firstLineChars="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905" w:hRule="atLeast"/>
          <w:tblHeader/>
          <w:jc w:val="center"/>
        </w:trPr>
        <w:tc>
          <w:tcPr>
            <w:tcW w:w="518" w:type="pct"/>
            <w:vMerge w:val="continue"/>
            <w:vAlign w:val="center"/>
          </w:tcPr>
          <w:p>
            <w:pPr>
              <w:spacing w:line="260" w:lineRule="exact"/>
              <w:ind w:firstLine="0" w:firstLineChars="0"/>
              <w:jc w:val="center"/>
              <w:rPr>
                <w:kern w:val="0"/>
                <w:sz w:val="21"/>
                <w:szCs w:val="21"/>
              </w:rPr>
            </w:pPr>
          </w:p>
        </w:tc>
        <w:tc>
          <w:tcPr>
            <w:tcW w:w="254" w:type="pct"/>
            <w:vMerge w:val="continue"/>
            <w:vAlign w:val="center"/>
          </w:tcPr>
          <w:p>
            <w:pPr>
              <w:spacing w:line="260" w:lineRule="exact"/>
              <w:ind w:firstLine="0" w:firstLineChars="0"/>
              <w:jc w:val="center"/>
              <w:rPr>
                <w:rFonts w:eastAsia="宋体"/>
                <w:kern w:val="0"/>
                <w:sz w:val="21"/>
                <w:szCs w:val="21"/>
              </w:rPr>
            </w:pPr>
          </w:p>
        </w:tc>
        <w:tc>
          <w:tcPr>
            <w:tcW w:w="268" w:type="pct"/>
            <w:vMerge w:val="continue"/>
            <w:vAlign w:val="center"/>
          </w:tcPr>
          <w:p>
            <w:pPr>
              <w:spacing w:line="260" w:lineRule="exact"/>
              <w:ind w:firstLine="0" w:firstLineChars="0"/>
              <w:jc w:val="center"/>
              <w:rPr>
                <w:rFonts w:eastAsia="宋体"/>
                <w:kern w:val="0"/>
                <w:sz w:val="21"/>
                <w:szCs w:val="21"/>
              </w:rPr>
            </w:pPr>
          </w:p>
        </w:tc>
        <w:tc>
          <w:tcPr>
            <w:tcW w:w="232" w:type="pct"/>
            <w:vMerge w:val="continue"/>
            <w:vAlign w:val="center"/>
          </w:tcPr>
          <w:p>
            <w:pPr>
              <w:spacing w:line="260" w:lineRule="exact"/>
              <w:ind w:firstLine="0" w:firstLineChars="0"/>
              <w:jc w:val="center"/>
              <w:rPr>
                <w:rFonts w:eastAsia="宋体"/>
                <w:kern w:val="0"/>
                <w:sz w:val="21"/>
                <w:szCs w:val="21"/>
              </w:rPr>
            </w:pPr>
          </w:p>
        </w:tc>
        <w:tc>
          <w:tcPr>
            <w:tcW w:w="289" w:type="pct"/>
            <w:vMerge w:val="continue"/>
            <w:vAlign w:val="center"/>
          </w:tcPr>
          <w:p>
            <w:pPr>
              <w:spacing w:line="260" w:lineRule="exact"/>
              <w:ind w:firstLine="0" w:firstLineChars="0"/>
              <w:jc w:val="center"/>
              <w:rPr>
                <w:rFonts w:eastAsia="宋体"/>
                <w:kern w:val="0"/>
                <w:sz w:val="21"/>
                <w:szCs w:val="21"/>
              </w:rPr>
            </w:pPr>
          </w:p>
        </w:tc>
        <w:tc>
          <w:tcPr>
            <w:tcW w:w="327" w:type="pct"/>
            <w:vAlign w:val="center"/>
          </w:tcPr>
          <w:p>
            <w:pPr>
              <w:spacing w:line="260" w:lineRule="exact"/>
              <w:ind w:firstLine="0" w:firstLineChars="0"/>
              <w:jc w:val="center"/>
              <w:rPr>
                <w:kern w:val="0"/>
                <w:sz w:val="21"/>
                <w:szCs w:val="21"/>
              </w:rPr>
            </w:pPr>
            <w:r>
              <w:rPr>
                <w:rFonts w:hint="eastAsia" w:cs="仿宋_GB2312"/>
                <w:kern w:val="0"/>
                <w:sz w:val="21"/>
                <w:szCs w:val="21"/>
              </w:rPr>
              <w:t>截至</w:t>
            </w:r>
          </w:p>
          <w:p>
            <w:pPr>
              <w:spacing w:line="260" w:lineRule="exact"/>
              <w:ind w:firstLine="0" w:firstLineChars="0"/>
              <w:jc w:val="center"/>
              <w:rPr>
                <w:kern w:val="0"/>
                <w:sz w:val="21"/>
                <w:szCs w:val="21"/>
              </w:rPr>
            </w:pPr>
            <w:r>
              <w:rPr>
                <w:rFonts w:hint="eastAsia" w:cs="仿宋_GB2312"/>
                <w:kern w:val="0"/>
                <w:sz w:val="21"/>
                <w:szCs w:val="21"/>
              </w:rPr>
              <w:t>当年底</w:t>
            </w:r>
          </w:p>
        </w:tc>
        <w:tc>
          <w:tcPr>
            <w:tcW w:w="351" w:type="pct"/>
            <w:vAlign w:val="center"/>
          </w:tcPr>
          <w:p>
            <w:pPr>
              <w:spacing w:line="260" w:lineRule="exact"/>
              <w:ind w:firstLine="0" w:firstLineChars="0"/>
              <w:jc w:val="center"/>
              <w:rPr>
                <w:kern w:val="0"/>
                <w:sz w:val="21"/>
                <w:szCs w:val="21"/>
              </w:rPr>
            </w:pPr>
            <w:r>
              <w:rPr>
                <w:rFonts w:hint="eastAsia" w:cs="仿宋_GB2312"/>
                <w:kern w:val="0"/>
                <w:sz w:val="21"/>
                <w:szCs w:val="21"/>
              </w:rPr>
              <w:t>截至第二年</w:t>
            </w:r>
            <w:r>
              <w:rPr>
                <w:kern w:val="0"/>
                <w:sz w:val="21"/>
                <w:szCs w:val="21"/>
              </w:rPr>
              <w:t>6</w:t>
            </w:r>
            <w:r>
              <w:rPr>
                <w:rFonts w:hint="eastAsia" w:cs="仿宋_GB2312"/>
                <w:kern w:val="0"/>
                <w:sz w:val="21"/>
                <w:szCs w:val="21"/>
              </w:rPr>
              <w:t>月底</w:t>
            </w:r>
          </w:p>
        </w:tc>
        <w:tc>
          <w:tcPr>
            <w:tcW w:w="327" w:type="pct"/>
            <w:vAlign w:val="center"/>
          </w:tcPr>
          <w:p>
            <w:pPr>
              <w:spacing w:line="260" w:lineRule="exact"/>
              <w:ind w:firstLine="0" w:firstLineChars="0"/>
              <w:jc w:val="center"/>
              <w:rPr>
                <w:kern w:val="0"/>
                <w:sz w:val="21"/>
                <w:szCs w:val="21"/>
              </w:rPr>
            </w:pPr>
            <w:r>
              <w:rPr>
                <w:rFonts w:hint="eastAsia" w:cs="仿宋_GB2312"/>
                <w:kern w:val="0"/>
                <w:sz w:val="21"/>
                <w:szCs w:val="21"/>
              </w:rPr>
              <w:t>截至</w:t>
            </w:r>
          </w:p>
          <w:p>
            <w:pPr>
              <w:spacing w:line="260" w:lineRule="exact"/>
              <w:ind w:firstLine="0" w:firstLineChars="0"/>
              <w:jc w:val="center"/>
              <w:rPr>
                <w:kern w:val="0"/>
                <w:sz w:val="21"/>
                <w:szCs w:val="21"/>
              </w:rPr>
            </w:pPr>
            <w:r>
              <w:rPr>
                <w:rFonts w:hint="eastAsia" w:cs="仿宋_GB2312"/>
                <w:kern w:val="0"/>
                <w:sz w:val="21"/>
                <w:szCs w:val="21"/>
              </w:rPr>
              <w:t>当年底</w:t>
            </w:r>
          </w:p>
        </w:tc>
        <w:tc>
          <w:tcPr>
            <w:tcW w:w="348" w:type="pct"/>
            <w:vAlign w:val="center"/>
          </w:tcPr>
          <w:p>
            <w:pPr>
              <w:spacing w:line="260" w:lineRule="exact"/>
              <w:ind w:firstLine="0" w:firstLineChars="0"/>
              <w:jc w:val="center"/>
              <w:rPr>
                <w:kern w:val="0"/>
                <w:sz w:val="21"/>
                <w:szCs w:val="21"/>
              </w:rPr>
            </w:pPr>
            <w:r>
              <w:rPr>
                <w:rFonts w:hint="eastAsia" w:cs="仿宋_GB2312"/>
                <w:kern w:val="0"/>
                <w:sz w:val="21"/>
                <w:szCs w:val="21"/>
              </w:rPr>
              <w:t>截至第二年</w:t>
            </w:r>
            <w:r>
              <w:rPr>
                <w:kern w:val="0"/>
                <w:sz w:val="21"/>
                <w:szCs w:val="21"/>
              </w:rPr>
              <w:t>6</w:t>
            </w:r>
            <w:r>
              <w:rPr>
                <w:rFonts w:hint="eastAsia" w:cs="仿宋_GB2312"/>
                <w:kern w:val="0"/>
                <w:sz w:val="21"/>
                <w:szCs w:val="21"/>
              </w:rPr>
              <w:t>月底</w:t>
            </w:r>
          </w:p>
        </w:tc>
        <w:tc>
          <w:tcPr>
            <w:tcW w:w="327" w:type="pct"/>
            <w:vAlign w:val="center"/>
          </w:tcPr>
          <w:p>
            <w:pPr>
              <w:spacing w:line="260" w:lineRule="exact"/>
              <w:ind w:firstLine="0" w:firstLineChars="0"/>
              <w:jc w:val="center"/>
              <w:rPr>
                <w:kern w:val="0"/>
                <w:sz w:val="21"/>
                <w:szCs w:val="21"/>
              </w:rPr>
            </w:pPr>
            <w:r>
              <w:rPr>
                <w:rFonts w:hint="eastAsia" w:cs="仿宋_GB2312"/>
                <w:kern w:val="0"/>
                <w:sz w:val="21"/>
                <w:szCs w:val="21"/>
              </w:rPr>
              <w:t>截至</w:t>
            </w:r>
          </w:p>
          <w:p>
            <w:pPr>
              <w:spacing w:line="260" w:lineRule="exact"/>
              <w:ind w:firstLine="0" w:firstLineChars="0"/>
              <w:jc w:val="center"/>
              <w:rPr>
                <w:kern w:val="0"/>
                <w:sz w:val="21"/>
                <w:szCs w:val="21"/>
              </w:rPr>
            </w:pPr>
            <w:r>
              <w:rPr>
                <w:rFonts w:hint="eastAsia" w:cs="仿宋_GB2312"/>
                <w:kern w:val="0"/>
                <w:sz w:val="21"/>
                <w:szCs w:val="21"/>
              </w:rPr>
              <w:t>当年底</w:t>
            </w:r>
          </w:p>
        </w:tc>
        <w:tc>
          <w:tcPr>
            <w:tcW w:w="346" w:type="pct"/>
            <w:vAlign w:val="center"/>
          </w:tcPr>
          <w:p>
            <w:pPr>
              <w:spacing w:line="260" w:lineRule="exact"/>
              <w:ind w:firstLine="0" w:firstLineChars="0"/>
              <w:jc w:val="center"/>
              <w:rPr>
                <w:kern w:val="0"/>
                <w:sz w:val="21"/>
                <w:szCs w:val="21"/>
              </w:rPr>
            </w:pPr>
            <w:r>
              <w:rPr>
                <w:rFonts w:hint="eastAsia" w:cs="仿宋_GB2312"/>
                <w:kern w:val="0"/>
                <w:sz w:val="21"/>
                <w:szCs w:val="21"/>
              </w:rPr>
              <w:t>截至第二年</w:t>
            </w:r>
            <w:r>
              <w:rPr>
                <w:kern w:val="0"/>
                <w:sz w:val="21"/>
                <w:szCs w:val="21"/>
              </w:rPr>
              <w:t>6</w:t>
            </w:r>
            <w:r>
              <w:rPr>
                <w:rFonts w:hint="eastAsia" w:cs="仿宋_GB2312"/>
                <w:kern w:val="0"/>
                <w:sz w:val="21"/>
                <w:szCs w:val="21"/>
              </w:rPr>
              <w:t>月底</w:t>
            </w:r>
          </w:p>
        </w:tc>
        <w:tc>
          <w:tcPr>
            <w:tcW w:w="300" w:type="pct"/>
            <w:vAlign w:val="center"/>
          </w:tcPr>
          <w:p>
            <w:pPr>
              <w:spacing w:line="260" w:lineRule="exact"/>
              <w:ind w:firstLine="0" w:firstLineChars="0"/>
              <w:jc w:val="center"/>
              <w:rPr>
                <w:kern w:val="0"/>
                <w:sz w:val="21"/>
                <w:szCs w:val="21"/>
              </w:rPr>
            </w:pPr>
            <w:r>
              <w:rPr>
                <w:rFonts w:hint="eastAsia" w:cs="仿宋_GB2312"/>
                <w:kern w:val="0"/>
                <w:sz w:val="21"/>
                <w:szCs w:val="21"/>
              </w:rPr>
              <w:t>截至</w:t>
            </w:r>
          </w:p>
          <w:p>
            <w:pPr>
              <w:spacing w:line="260" w:lineRule="exact"/>
              <w:ind w:firstLine="0" w:firstLineChars="0"/>
              <w:jc w:val="center"/>
              <w:rPr>
                <w:kern w:val="0"/>
                <w:sz w:val="21"/>
                <w:szCs w:val="21"/>
              </w:rPr>
            </w:pPr>
            <w:r>
              <w:rPr>
                <w:rFonts w:hint="eastAsia" w:cs="仿宋_GB2312"/>
                <w:kern w:val="0"/>
                <w:sz w:val="21"/>
                <w:szCs w:val="21"/>
              </w:rPr>
              <w:t>当年底</w:t>
            </w:r>
          </w:p>
        </w:tc>
        <w:tc>
          <w:tcPr>
            <w:tcW w:w="384" w:type="pct"/>
            <w:vAlign w:val="center"/>
          </w:tcPr>
          <w:p>
            <w:pPr>
              <w:spacing w:line="260" w:lineRule="exact"/>
              <w:ind w:firstLine="0" w:firstLineChars="0"/>
              <w:jc w:val="center"/>
              <w:rPr>
                <w:kern w:val="0"/>
                <w:sz w:val="21"/>
                <w:szCs w:val="21"/>
              </w:rPr>
            </w:pPr>
            <w:r>
              <w:rPr>
                <w:rFonts w:hint="eastAsia" w:cs="仿宋_GB2312"/>
                <w:kern w:val="0"/>
                <w:sz w:val="21"/>
                <w:szCs w:val="21"/>
              </w:rPr>
              <w:t>截至第二年</w:t>
            </w:r>
          </w:p>
          <w:p>
            <w:pPr>
              <w:spacing w:line="260" w:lineRule="exact"/>
              <w:ind w:firstLine="0" w:firstLineChars="0"/>
              <w:jc w:val="center"/>
              <w:rPr>
                <w:kern w:val="0"/>
                <w:sz w:val="21"/>
                <w:szCs w:val="21"/>
              </w:rPr>
            </w:pPr>
            <w:r>
              <w:rPr>
                <w:kern w:val="0"/>
                <w:sz w:val="21"/>
                <w:szCs w:val="21"/>
              </w:rPr>
              <w:t>6</w:t>
            </w:r>
            <w:r>
              <w:rPr>
                <w:rFonts w:hint="eastAsia" w:cs="仿宋_GB2312"/>
                <w:kern w:val="0"/>
                <w:sz w:val="21"/>
                <w:szCs w:val="21"/>
              </w:rPr>
              <w:t>月底</w:t>
            </w:r>
          </w:p>
        </w:tc>
        <w:tc>
          <w:tcPr>
            <w:tcW w:w="348" w:type="pct"/>
            <w:vAlign w:val="center"/>
          </w:tcPr>
          <w:p>
            <w:pPr>
              <w:spacing w:line="260" w:lineRule="exact"/>
              <w:ind w:firstLine="0" w:firstLineChars="0"/>
              <w:jc w:val="center"/>
              <w:rPr>
                <w:kern w:val="0"/>
                <w:sz w:val="21"/>
                <w:szCs w:val="21"/>
              </w:rPr>
            </w:pPr>
            <w:r>
              <w:rPr>
                <w:rFonts w:hint="eastAsia" w:cs="仿宋_GB2312"/>
                <w:kern w:val="0"/>
                <w:sz w:val="21"/>
                <w:szCs w:val="21"/>
              </w:rPr>
              <w:t>截至</w:t>
            </w:r>
          </w:p>
          <w:p>
            <w:pPr>
              <w:spacing w:line="260" w:lineRule="exact"/>
              <w:ind w:firstLine="0" w:firstLineChars="0"/>
              <w:jc w:val="center"/>
              <w:rPr>
                <w:kern w:val="0"/>
                <w:sz w:val="21"/>
                <w:szCs w:val="21"/>
              </w:rPr>
            </w:pPr>
            <w:r>
              <w:rPr>
                <w:rFonts w:hint="eastAsia" w:cs="仿宋_GB2312"/>
                <w:kern w:val="0"/>
                <w:sz w:val="21"/>
                <w:szCs w:val="21"/>
              </w:rPr>
              <w:t>当年底</w:t>
            </w:r>
          </w:p>
        </w:tc>
        <w:tc>
          <w:tcPr>
            <w:tcW w:w="375" w:type="pct"/>
            <w:vAlign w:val="center"/>
          </w:tcPr>
          <w:p>
            <w:pPr>
              <w:spacing w:line="260" w:lineRule="exact"/>
              <w:ind w:firstLine="0" w:firstLineChars="0"/>
              <w:jc w:val="center"/>
              <w:rPr>
                <w:kern w:val="0"/>
                <w:sz w:val="21"/>
                <w:szCs w:val="21"/>
              </w:rPr>
            </w:pPr>
            <w:r>
              <w:rPr>
                <w:rFonts w:hint="eastAsia" w:cs="仿宋_GB2312"/>
                <w:kern w:val="0"/>
                <w:sz w:val="21"/>
                <w:szCs w:val="21"/>
              </w:rPr>
              <w:t>截至第二年</w:t>
            </w:r>
          </w:p>
          <w:p>
            <w:pPr>
              <w:spacing w:line="260" w:lineRule="exact"/>
              <w:ind w:firstLine="0" w:firstLineChars="0"/>
              <w:jc w:val="center"/>
              <w:rPr>
                <w:kern w:val="0"/>
                <w:sz w:val="21"/>
                <w:szCs w:val="21"/>
              </w:rPr>
            </w:pPr>
            <w:r>
              <w:rPr>
                <w:kern w:val="0"/>
                <w:sz w:val="21"/>
                <w:szCs w:val="21"/>
              </w:rPr>
              <w:t>6</w:t>
            </w:r>
            <w:r>
              <w:rPr>
                <w:rFonts w:hint="eastAsia" w:cs="仿宋_GB2312"/>
                <w:kern w:val="0"/>
                <w:sz w:val="21"/>
                <w:szCs w:val="21"/>
              </w:rPr>
              <w:t>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sz w:val="21"/>
                <w:szCs w:val="21"/>
              </w:rPr>
            </w:pPr>
            <w:r>
              <w:rPr>
                <w:rFonts w:hint="eastAsia" w:ascii="仿宋_GB2312" w:hAnsi="仿宋_GB2312" w:cs="仿宋_GB2312"/>
                <w:sz w:val="21"/>
                <w:szCs w:val="21"/>
              </w:rPr>
              <w:t>小型水库工程设施维修养护</w:t>
            </w:r>
          </w:p>
        </w:tc>
        <w:tc>
          <w:tcPr>
            <w:tcW w:w="0" w:type="auto"/>
            <w:vAlign w:val="center"/>
          </w:tcPr>
          <w:p>
            <w:pPr>
              <w:ind w:firstLine="0" w:firstLineChars="0"/>
              <w:jc w:val="center"/>
              <w:rPr>
                <w:sz w:val="21"/>
                <w:szCs w:val="21"/>
              </w:rPr>
            </w:pPr>
            <w:r>
              <w:rPr>
                <w:rFonts w:ascii="仿宋_GB2312" w:hAnsi="仿宋_GB2312" w:cs="仿宋_GB2312"/>
                <w:sz w:val="21"/>
                <w:szCs w:val="21"/>
              </w:rPr>
              <w:t>29</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29</w:t>
            </w:r>
          </w:p>
        </w:tc>
        <w:tc>
          <w:tcPr>
            <w:tcW w:w="351" w:type="pct"/>
            <w:vAlign w:val="center"/>
          </w:tcPr>
          <w:p>
            <w:pPr>
              <w:ind w:firstLine="0" w:firstLineChars="0"/>
              <w:jc w:val="center"/>
              <w:rPr>
                <w:sz w:val="21"/>
                <w:szCs w:val="21"/>
              </w:rPr>
            </w:pPr>
            <w:r>
              <w:rPr>
                <w:rFonts w:ascii="仿宋_GB2312" w:hAnsi="仿宋_GB2312" w:cs="仿宋_GB2312"/>
                <w:sz w:val="21"/>
                <w:szCs w:val="21"/>
              </w:rPr>
              <w:t>29</w:t>
            </w:r>
          </w:p>
        </w:tc>
        <w:tc>
          <w:tcPr>
            <w:tcW w:w="327" w:type="pct"/>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sz w:val="21"/>
                <w:szCs w:val="21"/>
              </w:rPr>
            </w:pPr>
            <w:r>
              <w:rPr>
                <w:rFonts w:hint="eastAsia" w:ascii="仿宋_GB2312" w:hAnsi="仿宋_GB2312" w:cs="仿宋_GB2312"/>
                <w:sz w:val="21"/>
                <w:szCs w:val="21"/>
              </w:rPr>
              <w:t>农业水价综合改革</w:t>
            </w:r>
          </w:p>
        </w:tc>
        <w:tc>
          <w:tcPr>
            <w:tcW w:w="0" w:type="auto"/>
            <w:vAlign w:val="center"/>
          </w:tcPr>
          <w:p>
            <w:pPr>
              <w:ind w:firstLine="0" w:firstLineChars="0"/>
              <w:jc w:val="center"/>
              <w:rPr>
                <w:sz w:val="21"/>
                <w:szCs w:val="21"/>
              </w:rPr>
            </w:pPr>
            <w:r>
              <w:rPr>
                <w:rFonts w:ascii="仿宋_GB2312" w:hAnsi="仿宋_GB2312" w:cs="仿宋_GB2312"/>
                <w:sz w:val="21"/>
                <w:szCs w:val="21"/>
              </w:rPr>
              <w:t>5</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5</w:t>
            </w:r>
          </w:p>
        </w:tc>
        <w:tc>
          <w:tcPr>
            <w:tcW w:w="351" w:type="pct"/>
            <w:vAlign w:val="center"/>
          </w:tcPr>
          <w:p>
            <w:pPr>
              <w:ind w:firstLine="0" w:firstLineChars="0"/>
              <w:jc w:val="center"/>
              <w:rPr>
                <w:sz w:val="21"/>
                <w:szCs w:val="21"/>
              </w:rPr>
            </w:pPr>
            <w:r>
              <w:rPr>
                <w:rFonts w:ascii="仿宋_GB2312" w:hAnsi="仿宋_GB2312" w:cs="仿宋_GB2312"/>
                <w:sz w:val="21"/>
                <w:szCs w:val="21"/>
              </w:rPr>
              <w:t>5</w:t>
            </w:r>
          </w:p>
        </w:tc>
        <w:tc>
          <w:tcPr>
            <w:tcW w:w="327" w:type="pct"/>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cs="仿宋_GB2312"/>
                <w:sz w:val="21"/>
                <w:szCs w:val="21"/>
              </w:rPr>
              <w:t>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c>
          <w:tcPr>
            <w:tcW w:w="0" w:type="auto"/>
            <w:vAlign w:val="center"/>
          </w:tcPr>
          <w:p>
            <w:pPr>
              <w:ind w:firstLine="0" w:firstLineChars="0"/>
              <w:jc w:val="center"/>
              <w:rPr>
                <w:sz w:val="21"/>
                <w:szCs w:val="21"/>
              </w:rPr>
            </w:pPr>
            <w:r>
              <w:rPr>
                <w:rFonts w:ascii="仿宋_GB2312" w:hAnsi="仿宋_GB2312" w:cs="仿宋_GB2312"/>
                <w:sz w:val="21"/>
                <w:szCs w:val="21"/>
              </w:rPr>
              <w:t>100</w:t>
            </w:r>
          </w:p>
        </w:tc>
      </w:tr>
    </w:tbl>
    <w:p>
      <w:pPr>
        <w:keepNext w:val="0"/>
        <w:keepLines w:val="0"/>
        <w:pageBreakBefore w:val="0"/>
        <w:widowControl w:val="0"/>
        <w:kinsoku/>
        <w:wordWrap/>
        <w:overflowPunct/>
        <w:topLinePunct w:val="0"/>
        <w:autoSpaceDE/>
        <w:autoSpaceDN/>
        <w:bidi w:val="0"/>
        <w:adjustRightInd/>
        <w:snapToGrid/>
        <w:spacing w:line="240" w:lineRule="exact"/>
        <w:ind w:firstLine="31680"/>
        <w:textAlignment w:val="auto"/>
        <w:outlineLvl w:val="2"/>
        <w:rPr>
          <w:b/>
          <w:bCs/>
          <w:sz w:val="32"/>
          <w:szCs w:val="32"/>
        </w:rPr>
      </w:pPr>
    </w:p>
    <w:p>
      <w:pPr>
        <w:pageBreakBefore w:val="0"/>
        <w:widowControl w:val="0"/>
        <w:kinsoku/>
        <w:wordWrap/>
        <w:overflowPunct/>
        <w:topLinePunct w:val="0"/>
        <w:bidi w:val="0"/>
        <w:snapToGrid/>
        <w:spacing w:line="600" w:lineRule="exact"/>
        <w:ind w:firstLine="31680"/>
        <w:textAlignment w:val="auto"/>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3.资金管理情况</w:t>
      </w:r>
    </w:p>
    <w:p>
      <w:pPr>
        <w:pStyle w:val="19"/>
        <w:pageBreakBefore w:val="0"/>
        <w:kinsoku/>
        <w:wordWrap/>
        <w:overflowPunct/>
        <w:topLinePunct w:val="0"/>
        <w:bidi w:val="0"/>
        <w:snapToGrid/>
        <w:spacing w:after="0" w:line="600" w:lineRule="exact"/>
        <w:ind w:firstLine="640" w:firstLineChars="200"/>
        <w:jc w:val="both"/>
        <w:textAlignment w:val="auto"/>
        <w:rPr>
          <w:rFonts w:hint="eastAsia" w:ascii="仿宋_GB2312" w:hAnsi="仿宋_GB2312" w:eastAsia="仿宋_GB2312" w:cs="仿宋_GB2312"/>
          <w:color w:val="auto"/>
          <w:kern w:val="2"/>
          <w:sz w:val="32"/>
          <w:szCs w:val="32"/>
        </w:rPr>
      </w:pP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年度，</w:t>
      </w:r>
      <w:r>
        <w:rPr>
          <w:rFonts w:hint="eastAsia" w:ascii="仿宋_GB2312" w:hAnsi="仿宋_GB2312" w:eastAsia="仿宋_GB2312" w:cs="仿宋_GB2312"/>
          <w:color w:val="auto"/>
          <w:kern w:val="2"/>
          <w:sz w:val="32"/>
          <w:szCs w:val="32"/>
        </w:rPr>
        <w:t>中央水利发展资金下达韶关市曲江区资金小型水库工程设施维修养护</w:t>
      </w:r>
      <w:r>
        <w:rPr>
          <w:rFonts w:ascii="仿宋_GB2312" w:hAnsi="仿宋_GB2312" w:eastAsia="仿宋_GB2312" w:cs="仿宋_GB2312"/>
          <w:color w:val="auto"/>
          <w:kern w:val="2"/>
          <w:sz w:val="32"/>
          <w:szCs w:val="32"/>
        </w:rPr>
        <w:t>29</w:t>
      </w:r>
      <w:r>
        <w:rPr>
          <w:rFonts w:hint="eastAsia" w:ascii="仿宋_GB2312" w:hAnsi="仿宋_GB2312" w:eastAsia="仿宋_GB2312" w:cs="仿宋_GB2312"/>
          <w:color w:val="auto"/>
          <w:kern w:val="2"/>
          <w:sz w:val="32"/>
          <w:szCs w:val="32"/>
        </w:rPr>
        <w:t>万元、农业水价综合改革</w:t>
      </w:r>
      <w:r>
        <w:rPr>
          <w:rFonts w:ascii="仿宋_GB2312" w:hAnsi="仿宋_GB2312" w:eastAsia="仿宋_GB2312" w:cs="仿宋_GB2312"/>
          <w:color w:val="auto"/>
          <w:kern w:val="2"/>
          <w:sz w:val="32"/>
          <w:szCs w:val="32"/>
        </w:rPr>
        <w:t>5</w:t>
      </w:r>
      <w:r>
        <w:rPr>
          <w:rFonts w:hint="eastAsia" w:ascii="仿宋_GB2312" w:hAnsi="仿宋_GB2312" w:eastAsia="仿宋_GB2312" w:cs="仿宋_GB2312"/>
          <w:color w:val="auto"/>
          <w:kern w:val="2"/>
          <w:sz w:val="32"/>
          <w:szCs w:val="32"/>
        </w:rPr>
        <w:t>万元；市级已征收水资源费县级分成资金下达韶关市曲江区资金农业水价综合改革</w:t>
      </w:r>
      <w:r>
        <w:rPr>
          <w:rFonts w:ascii="仿宋_GB2312" w:hAnsi="仿宋_GB2312" w:eastAsia="仿宋_GB2312" w:cs="仿宋_GB2312"/>
          <w:color w:val="auto"/>
          <w:kern w:val="2"/>
          <w:sz w:val="32"/>
          <w:szCs w:val="32"/>
        </w:rPr>
        <w:t>5</w:t>
      </w:r>
      <w:r>
        <w:rPr>
          <w:rFonts w:hint="eastAsia" w:ascii="仿宋_GB2312" w:hAnsi="仿宋_GB2312" w:eastAsia="仿宋_GB2312" w:cs="仿宋_GB2312"/>
          <w:color w:val="auto"/>
          <w:kern w:val="2"/>
          <w:sz w:val="32"/>
          <w:szCs w:val="32"/>
        </w:rPr>
        <w:t>万元。在相关检查中无违纪违规问题。</w:t>
      </w:r>
    </w:p>
    <w:p>
      <w:pPr>
        <w:pStyle w:val="19"/>
        <w:pageBreakBefore w:val="0"/>
        <w:kinsoku/>
        <w:wordWrap/>
        <w:overflowPunct/>
        <w:topLinePunct w:val="0"/>
        <w:bidi w:val="0"/>
        <w:snapToGrid/>
        <w:spacing w:after="0" w:line="600" w:lineRule="exact"/>
        <w:ind w:firstLine="640" w:firstLineChars="200"/>
        <w:jc w:val="both"/>
        <w:textAlignment w:val="auto"/>
        <w:rPr>
          <w:rFonts w:eastAsia="楷体_GB2312"/>
          <w:b w:val="0"/>
          <w:bCs w:val="0"/>
          <w:sz w:val="32"/>
          <w:szCs w:val="32"/>
        </w:rPr>
      </w:pPr>
      <w:r>
        <w:rPr>
          <w:rFonts w:hint="eastAsia" w:eastAsia="楷体_GB2312" w:cs="楷体_GB2312"/>
          <w:b w:val="0"/>
          <w:bCs w:val="0"/>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600" w:lineRule="exact"/>
        <w:ind w:firstLine="31680"/>
        <w:textAlignment w:val="auto"/>
        <w:outlineLvl w:val="2"/>
        <w:rPr>
          <w:rFonts w:hint="eastAsia" w:ascii="仿宋_GB2312" w:hAnsi="仿宋_GB2312" w:cs="仿宋_GB2312"/>
          <w:b/>
          <w:bCs/>
          <w:sz w:val="32"/>
          <w:szCs w:val="32"/>
        </w:rPr>
      </w:pPr>
      <w:r>
        <w:rPr>
          <w:rFonts w:ascii="仿宋_GB2312" w:hAnsi="仿宋_GB2312" w:cs="仿宋_GB2312"/>
          <w:b/>
          <w:bCs/>
          <w:sz w:val="32"/>
          <w:szCs w:val="32"/>
        </w:rPr>
        <w:t>1.</w:t>
      </w:r>
      <w:r>
        <w:rPr>
          <w:rFonts w:hint="eastAsia" w:ascii="仿宋_GB2312" w:hAnsi="仿宋_GB2312" w:cs="仿宋_GB2312"/>
          <w:b/>
          <w:bCs/>
          <w:sz w:val="32"/>
          <w:szCs w:val="32"/>
        </w:rPr>
        <w:t>组织实施</w:t>
      </w:r>
    </w:p>
    <w:p>
      <w:pPr>
        <w:keepNext w:val="0"/>
        <w:keepLines w:val="0"/>
        <w:pageBreakBefore w:val="0"/>
        <w:widowControl w:val="0"/>
        <w:kinsoku/>
        <w:wordWrap/>
        <w:overflowPunct/>
        <w:topLinePunct w:val="0"/>
        <w:autoSpaceDE/>
        <w:autoSpaceDN/>
        <w:bidi w:val="0"/>
        <w:adjustRightInd/>
        <w:snapToGrid/>
        <w:spacing w:line="600" w:lineRule="exact"/>
        <w:ind w:firstLine="31680"/>
        <w:textAlignment w:val="auto"/>
        <w:outlineLvl w:val="2"/>
        <w:rPr>
          <w:rFonts w:ascii="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年度，中央水利发展资金的项目以监理月报、合同价或中标价、支付凭证、文号、支付时间、款项等作为依据，建立《</w:t>
      </w:r>
      <w:r>
        <w:rPr>
          <w:rFonts w:ascii="仿宋_GB2312" w:hAnsi="仿宋_GB2312" w:cs="仿宋_GB2312"/>
          <w:sz w:val="32"/>
          <w:szCs w:val="32"/>
        </w:rPr>
        <w:t>2023</w:t>
      </w:r>
      <w:r>
        <w:rPr>
          <w:rFonts w:hint="eastAsia" w:ascii="仿宋_GB2312" w:hAnsi="仿宋_GB2312" w:cs="仿宋_GB2312"/>
          <w:sz w:val="32"/>
          <w:szCs w:val="32"/>
        </w:rPr>
        <w:t>年中央水利投资计划完成情况表（按资金来源分</w:t>
      </w:r>
      <w:r>
        <w:rPr>
          <w:rFonts w:ascii="仿宋_GB2312" w:hAnsi="仿宋_GB2312" w:cs="仿宋_GB2312"/>
          <w:sz w:val="32"/>
          <w:szCs w:val="32"/>
        </w:rPr>
        <w:t>)</w:t>
      </w:r>
      <w:r>
        <w:rPr>
          <w:rFonts w:hint="eastAsia" w:ascii="仿宋_GB2312" w:hAnsi="仿宋_GB2312" w:cs="仿宋_GB2312"/>
          <w:sz w:val="32"/>
          <w:szCs w:val="32"/>
        </w:rPr>
        <w:t>》台账。以韶关市曲江区水利工程建设与防御服务中心和韶关市罗坑水库管理处作为项目建设法人单位，并设立项目法人内设机构，明确人员分工及主要职责，负责组织实施工程建设管理，履行项目法人职责，对工程质量、进度、资金管理等负责；资金管理及项目或方案实施的保障机构健全，资金管理办法、项目管理办法或实施方案（计划）等制度健全、规范。</w:t>
      </w:r>
    </w:p>
    <w:p>
      <w:pPr>
        <w:pageBreakBefore w:val="0"/>
        <w:kinsoku/>
        <w:wordWrap/>
        <w:overflowPunct/>
        <w:topLinePunct w:val="0"/>
        <w:bidi w:val="0"/>
        <w:snapToGrid/>
        <w:spacing w:line="600" w:lineRule="exact"/>
        <w:ind w:firstLine="31680"/>
        <w:textAlignment w:val="auto"/>
        <w:rPr>
          <w:rFonts w:ascii="仿宋_GB2312"/>
          <w:sz w:val="32"/>
          <w:szCs w:val="32"/>
        </w:rPr>
      </w:pPr>
      <w:r>
        <w:rPr>
          <w:rFonts w:hint="eastAsia" w:ascii="仿宋_GB2312" w:hAnsi="仿宋_GB2312" w:cs="仿宋_GB2312"/>
          <w:sz w:val="32"/>
          <w:szCs w:val="32"/>
        </w:rPr>
        <w:t>为加强项目建设管理，编制年度计划，并加强执行情况的评估和考核；成立项目法人内设机构，明确职责；委托第三方质检、监理；为确保水利工程能够安全运行且发挥应有的作用，对小型水库工程管护实行物业化管理新模式。通过市场化运用，公开招标、邀请招标、询价或直接委托等市场化方式，择优选择管护单位，严格把控入选单位的资质，明确管护内容及要求；项目已全部完成，经验收工作组验收合格后，由实施单位移交给当地政府进行运行管理。</w:t>
      </w:r>
    </w:p>
    <w:p>
      <w:pPr>
        <w:pageBreakBefore w:val="0"/>
        <w:kinsoku/>
        <w:wordWrap/>
        <w:overflowPunct/>
        <w:topLinePunct w:val="0"/>
        <w:bidi w:val="0"/>
        <w:snapToGrid/>
        <w:spacing w:line="600" w:lineRule="exact"/>
        <w:ind w:left="0" w:leftChars="0" w:firstLine="643" w:firstLineChars="200"/>
        <w:textAlignment w:val="auto"/>
        <w:outlineLvl w:val="2"/>
        <w:rPr>
          <w:rFonts w:ascii="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绩效管理</w:t>
      </w:r>
    </w:p>
    <w:p>
      <w:pPr>
        <w:pageBreakBefore w:val="0"/>
        <w:kinsoku/>
        <w:wordWrap/>
        <w:overflowPunct/>
        <w:topLinePunct w:val="0"/>
        <w:bidi w:val="0"/>
        <w:snapToGrid/>
        <w:spacing w:line="600" w:lineRule="exact"/>
        <w:ind w:firstLine="640" w:firstLineChars="0"/>
        <w:textAlignment w:val="auto"/>
        <w:rPr>
          <w:rFonts w:ascii="仿宋_GB2312"/>
          <w:sz w:val="32"/>
          <w:szCs w:val="32"/>
        </w:rPr>
      </w:pPr>
      <w:r>
        <w:rPr>
          <w:rFonts w:hint="eastAsia" w:ascii="仿宋_GB2312" w:hAnsi="仿宋_GB2312" w:cs="仿宋_GB2312"/>
          <w:sz w:val="32"/>
          <w:szCs w:val="32"/>
        </w:rPr>
        <w:t>我区根据省、市绩效目标分解情况，加强与上级部门沟通，明确项目绩效目标，实施过程中，根据实际情况，及时调整绩效目标。对实施的项目开展重点监控，通过开展座谈、了解项目进度及实施情况，到项目现场开展实地检查走访，进一步增进水利工程管理部门预算绩效管理工作的主体责任意识，提高绩效监控工作整体水平。不定期对项目执行单位进度情况督导检查，对检查过程中发现的问题及时督促整改，确保项目按时保质完成。项目实施过程中严格按照相关资金管理规定，切实加强对资金的监督和管理，确保专款专用。根据省市的绩效评价的相关部署，积极组织人员参加</w:t>
      </w:r>
      <w:r>
        <w:rPr>
          <w:rFonts w:ascii="仿宋_GB2312" w:hAnsi="仿宋_GB2312" w:cs="仿宋_GB2312"/>
          <w:sz w:val="32"/>
          <w:szCs w:val="32"/>
        </w:rPr>
        <w:t>2023</w:t>
      </w:r>
      <w:r>
        <w:rPr>
          <w:rFonts w:hint="eastAsia" w:ascii="仿宋_GB2312" w:hAnsi="仿宋_GB2312" w:cs="仿宋_GB2312"/>
          <w:sz w:val="32"/>
          <w:szCs w:val="32"/>
        </w:rPr>
        <w:t>年度水利发展资金绩效评价工作推进视频会暨专题培训会议，绩效评价工作填报严格按照中央、省的绩效评价要求保质、报量、按时完成。</w:t>
      </w:r>
      <w:r>
        <w:rPr>
          <w:rFonts w:hint="eastAsia" w:ascii="仿宋_GB2312" w:hAnsi="仿宋_GB2312" w:cs="仿宋_GB2312"/>
          <w:kern w:val="0"/>
          <w:sz w:val="32"/>
          <w:szCs w:val="32"/>
        </w:rPr>
        <w:t>项目管理严格按照工程建设管理“四制”要求进行。</w:t>
      </w:r>
    </w:p>
    <w:p>
      <w:pPr>
        <w:pStyle w:val="4"/>
        <w:pageBreakBefore w:val="0"/>
        <w:kinsoku/>
        <w:wordWrap/>
        <w:overflowPunct/>
        <w:topLinePunct w:val="0"/>
        <w:bidi w:val="0"/>
        <w:snapToGrid/>
        <w:spacing w:line="600" w:lineRule="exact"/>
        <w:ind w:firstLine="31680"/>
        <w:textAlignment w:val="auto"/>
        <w:rPr>
          <w:rFonts w:hint="eastAsia" w:eastAsia="楷体_GB2312" w:cs="楷体_GB2312"/>
          <w:b w:val="0"/>
          <w:bCs w:val="0"/>
          <w:sz w:val="32"/>
          <w:szCs w:val="32"/>
        </w:rPr>
      </w:pPr>
      <w:r>
        <w:rPr>
          <w:rFonts w:hint="eastAsia" w:eastAsia="楷体_GB2312" w:cs="楷体_GB2312"/>
          <w:b w:val="0"/>
          <w:bCs w:val="0"/>
          <w:sz w:val="32"/>
          <w:szCs w:val="32"/>
        </w:rPr>
        <w:t>（三）产出指标完成情况分析</w:t>
      </w:r>
    </w:p>
    <w:p>
      <w:pPr>
        <w:pStyle w:val="4"/>
        <w:pageBreakBefore w:val="0"/>
        <w:kinsoku/>
        <w:wordWrap/>
        <w:overflowPunct/>
        <w:topLinePunct w:val="0"/>
        <w:bidi w:val="0"/>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1.项目数量指标</w:t>
      </w:r>
    </w:p>
    <w:p>
      <w:pPr>
        <w:pStyle w:val="4"/>
        <w:pageBreakBefore w:val="0"/>
        <w:kinsoku/>
        <w:wordWrap/>
        <w:overflowPunct/>
        <w:topLinePunct w:val="0"/>
        <w:bidi w:val="0"/>
        <w:snapToGrid/>
        <w:spacing w:line="600" w:lineRule="exact"/>
        <w:ind w:firstLine="31680"/>
        <w:textAlignment w:val="auto"/>
        <w:rPr>
          <w:sz w:val="32"/>
          <w:szCs w:val="32"/>
        </w:rPr>
      </w:pPr>
      <w:r>
        <w:rPr>
          <w:rFonts w:hint="eastAsia" w:cs="仿宋_GB2312"/>
          <w:sz w:val="32"/>
          <w:szCs w:val="32"/>
        </w:rPr>
        <w:t>（</w:t>
      </w:r>
      <w:r>
        <w:rPr>
          <w:sz w:val="32"/>
          <w:szCs w:val="32"/>
        </w:rPr>
        <w:t>1</w:t>
      </w:r>
      <w:r>
        <w:rPr>
          <w:rFonts w:hint="eastAsia" w:cs="仿宋_GB2312"/>
          <w:sz w:val="32"/>
          <w:szCs w:val="32"/>
        </w:rPr>
        <w:t>）总体情况</w:t>
      </w:r>
    </w:p>
    <w:p>
      <w:pPr>
        <w:pageBreakBefore w:val="0"/>
        <w:kinsoku/>
        <w:wordWrap/>
        <w:overflowPunct/>
        <w:topLinePunct w:val="0"/>
        <w:bidi w:val="0"/>
        <w:snapToGrid/>
        <w:spacing w:line="600" w:lineRule="exact"/>
        <w:ind w:firstLine="31680"/>
        <w:textAlignment w:val="auto"/>
        <w:rPr>
          <w:rFonts w:hint="eastAsia" w:ascii="仿宋_GB2312" w:hAns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年度，韶关市曲江区水利发展资金数量指标为：新增农业水价综合改革面积</w:t>
      </w:r>
      <w:r>
        <w:rPr>
          <w:rFonts w:ascii="仿宋_GB2312" w:hAnsi="仿宋_GB2312" w:cs="仿宋_GB2312"/>
          <w:sz w:val="32"/>
          <w:szCs w:val="32"/>
        </w:rPr>
        <w:t>0.81</w:t>
      </w:r>
      <w:r>
        <w:rPr>
          <w:rFonts w:hint="eastAsia" w:ascii="仿宋_GB2312" w:hAnsi="仿宋_GB2312" w:cs="仿宋_GB2312"/>
          <w:sz w:val="32"/>
          <w:szCs w:val="32"/>
        </w:rPr>
        <w:t>万亩、小型水库工程维修养护座数</w:t>
      </w:r>
      <w:r>
        <w:rPr>
          <w:rFonts w:ascii="仿宋_GB2312" w:hAnsi="仿宋_GB2312" w:cs="仿宋_GB2312"/>
          <w:sz w:val="32"/>
          <w:szCs w:val="32"/>
        </w:rPr>
        <w:t>11</w:t>
      </w:r>
      <w:r>
        <w:rPr>
          <w:rFonts w:hint="eastAsia" w:ascii="仿宋_GB2312" w:hAnsi="仿宋_GB2312" w:cs="仿宋_GB2312"/>
          <w:sz w:val="32"/>
          <w:szCs w:val="32"/>
        </w:rPr>
        <w:t>座、其他水利工程设施维修养护覆盖服务人口</w:t>
      </w:r>
      <w:r>
        <w:rPr>
          <w:rFonts w:ascii="仿宋_GB2312" w:hAnsi="仿宋_GB2312" w:cs="仿宋_GB2312"/>
          <w:sz w:val="32"/>
          <w:szCs w:val="32"/>
        </w:rPr>
        <w:t>1.69</w:t>
      </w:r>
      <w:r>
        <w:rPr>
          <w:rFonts w:hint="eastAsia" w:ascii="仿宋_GB2312" w:hAnsi="仿宋_GB2312" w:cs="仿宋_GB2312"/>
          <w:sz w:val="32"/>
          <w:szCs w:val="32"/>
        </w:rPr>
        <w:t>万人。</w:t>
      </w:r>
    </w:p>
    <w:p>
      <w:pPr>
        <w:keepNext w:val="0"/>
        <w:keepLines w:val="0"/>
        <w:pageBreakBefore w:val="0"/>
        <w:widowControl w:val="0"/>
        <w:kinsoku/>
        <w:wordWrap/>
        <w:overflowPunct/>
        <w:topLinePunct w:val="0"/>
        <w:autoSpaceDE/>
        <w:autoSpaceDN/>
        <w:bidi w:val="0"/>
        <w:adjustRightInd/>
        <w:snapToGrid/>
        <w:spacing w:line="600" w:lineRule="exact"/>
        <w:ind w:firstLine="31680"/>
        <w:textAlignment w:val="auto"/>
        <w:rPr>
          <w:sz w:val="32"/>
          <w:szCs w:val="32"/>
        </w:rPr>
      </w:pPr>
      <w:r>
        <w:rPr>
          <w:rFonts w:hint="eastAsia" w:ascii="仿宋_GB2312" w:hAnsi="仿宋_GB2312" w:cs="仿宋_GB2312"/>
          <w:sz w:val="32"/>
          <w:szCs w:val="32"/>
        </w:rPr>
        <w:t>截至</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6</w:t>
      </w:r>
      <w:r>
        <w:rPr>
          <w:rFonts w:hint="eastAsia" w:ascii="仿宋_GB2312" w:hAnsi="仿宋_GB2312" w:cs="仿宋_GB2312"/>
          <w:sz w:val="32"/>
          <w:szCs w:val="32"/>
        </w:rPr>
        <w:t>月底，数量指标完成情况为：完成小型水库工程维修养护座数</w:t>
      </w:r>
      <w:r>
        <w:rPr>
          <w:rFonts w:ascii="仿宋_GB2312" w:hAnsi="仿宋_GB2312" w:cs="仿宋_GB2312"/>
          <w:sz w:val="32"/>
          <w:szCs w:val="32"/>
        </w:rPr>
        <w:t>11</w:t>
      </w:r>
      <w:r>
        <w:rPr>
          <w:rFonts w:hint="eastAsia" w:ascii="仿宋_GB2312" w:hAnsi="仿宋_GB2312" w:cs="仿宋_GB2312"/>
          <w:sz w:val="32"/>
          <w:szCs w:val="32"/>
        </w:rPr>
        <w:t>座、其他水利工程设施维修养护覆盖服务人口</w:t>
      </w:r>
      <w:r>
        <w:rPr>
          <w:rFonts w:ascii="仿宋_GB2312" w:hAnsi="仿宋_GB2312" w:cs="仿宋_GB2312"/>
          <w:sz w:val="32"/>
          <w:szCs w:val="32"/>
        </w:rPr>
        <w:t>1.69</w:t>
      </w:r>
      <w:r>
        <w:rPr>
          <w:rFonts w:hint="eastAsia" w:ascii="仿宋_GB2312" w:hAnsi="仿宋_GB2312" w:cs="仿宋_GB2312"/>
          <w:sz w:val="32"/>
          <w:szCs w:val="32"/>
        </w:rPr>
        <w:t>万人。根据《广东省财政厅关于进一步优化完善农业水价综合改革精准补贴和节水奖励机制有关工作的通知》（粤财农〔</w:t>
      </w:r>
      <w:r>
        <w:rPr>
          <w:rFonts w:ascii="仿宋_GB2312" w:hAnsi="仿宋_GB2312" w:cs="仿宋_GB2312"/>
          <w:sz w:val="32"/>
          <w:szCs w:val="32"/>
        </w:rPr>
        <w:t>2023</w:t>
      </w:r>
      <w:r>
        <w:rPr>
          <w:rFonts w:hint="eastAsia" w:ascii="仿宋_GB2312" w:hAnsi="仿宋_GB2312" w:cs="仿宋_GB2312"/>
          <w:sz w:val="32"/>
          <w:szCs w:val="32"/>
        </w:rPr>
        <w:t>〕</w:t>
      </w:r>
      <w:r>
        <w:rPr>
          <w:rFonts w:ascii="仿宋_GB2312" w:hAnsi="仿宋_GB2312" w:cs="仿宋_GB2312"/>
          <w:sz w:val="32"/>
          <w:szCs w:val="32"/>
        </w:rPr>
        <w:t>137</w:t>
      </w:r>
      <w:r>
        <w:rPr>
          <w:rFonts w:hint="eastAsia" w:ascii="仿宋_GB2312" w:hAnsi="仿宋_GB2312" w:cs="仿宋_GB2312"/>
          <w:sz w:val="32"/>
          <w:szCs w:val="32"/>
        </w:rPr>
        <w:t>号）精神，将</w:t>
      </w:r>
      <w:r>
        <w:rPr>
          <w:rFonts w:ascii="仿宋_GB2312" w:hAnsi="仿宋_GB2312" w:cs="仿宋_GB2312"/>
          <w:sz w:val="32"/>
          <w:szCs w:val="32"/>
        </w:rPr>
        <w:t>2023</w:t>
      </w:r>
      <w:r>
        <w:rPr>
          <w:rFonts w:hint="eastAsia" w:ascii="仿宋_GB2312" w:hAnsi="仿宋_GB2312" w:cs="仿宋_GB2312"/>
          <w:sz w:val="32"/>
          <w:szCs w:val="32"/>
        </w:rPr>
        <w:t>年中央资金农业水价综合改革</w:t>
      </w:r>
      <w:r>
        <w:rPr>
          <w:rFonts w:ascii="仿宋_GB2312" w:hAnsi="仿宋_GB2312" w:cs="仿宋_GB2312"/>
          <w:sz w:val="32"/>
          <w:szCs w:val="32"/>
        </w:rPr>
        <w:t>5</w:t>
      </w:r>
      <w:r>
        <w:rPr>
          <w:rFonts w:hint="eastAsia" w:ascii="仿宋_GB2312" w:hAnsi="仿宋_GB2312" w:cs="仿宋_GB2312"/>
          <w:sz w:val="32"/>
          <w:szCs w:val="32"/>
        </w:rPr>
        <w:t>万元（精准补贴和节水奖励）折算为水费用作罗坑水库灌区工程日常管护费用，因此</w:t>
      </w:r>
      <w:r>
        <w:rPr>
          <w:rFonts w:ascii="仿宋_GB2312" w:hAnsi="仿宋_GB2312" w:cs="仿宋_GB2312"/>
          <w:sz w:val="32"/>
          <w:szCs w:val="32"/>
        </w:rPr>
        <w:t>2023</w:t>
      </w:r>
      <w:r>
        <w:rPr>
          <w:rFonts w:hint="eastAsia" w:ascii="仿宋_GB2312" w:hAnsi="仿宋_GB2312" w:cs="仿宋_GB2312"/>
          <w:sz w:val="32"/>
          <w:szCs w:val="32"/>
        </w:rPr>
        <w:t>年曲江区农业水价综合改革项目不涉及市级下达“新增农业水价综合改革面积”</w:t>
      </w:r>
      <w:r>
        <w:rPr>
          <w:rFonts w:ascii="仿宋_GB2312" w:hAnsi="仿宋_GB2312" w:cs="仿宋_GB2312"/>
          <w:sz w:val="32"/>
          <w:szCs w:val="32"/>
        </w:rPr>
        <w:t>0.81</w:t>
      </w:r>
      <w:r>
        <w:rPr>
          <w:rFonts w:hint="eastAsia" w:ascii="仿宋_GB2312" w:hAnsi="仿宋_GB2312" w:cs="仿宋_GB2312"/>
          <w:sz w:val="32"/>
          <w:szCs w:val="32"/>
        </w:rPr>
        <w:t>万亩的绩效指标。总体来看，有达到年度目标值。</w:t>
      </w:r>
    </w:p>
    <w:p>
      <w:pPr>
        <w:pageBreakBefore w:val="0"/>
        <w:widowControl w:val="0"/>
        <w:kinsoku/>
        <w:wordWrap/>
        <w:overflowPunct/>
        <w:topLinePunct w:val="0"/>
        <w:bidi w:val="0"/>
        <w:snapToGrid/>
        <w:spacing w:line="600" w:lineRule="exact"/>
        <w:ind w:firstLine="31680"/>
        <w:textAlignment w:val="auto"/>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2.项目质量指标</w:t>
      </w:r>
    </w:p>
    <w:p>
      <w:pPr>
        <w:pStyle w:val="19"/>
        <w:pageBreakBefore w:val="0"/>
        <w:kinsoku/>
        <w:wordWrap/>
        <w:overflowPunct/>
        <w:topLinePunct w:val="0"/>
        <w:bidi w:val="0"/>
        <w:snapToGrid/>
        <w:spacing w:after="0" w:line="600" w:lineRule="exact"/>
        <w:ind w:firstLine="640" w:firstLineChars="200"/>
        <w:jc w:val="both"/>
        <w:textAlignment w:val="auto"/>
        <w:rPr>
          <w:rFonts w:ascii="仿宋_GB2312" w:hAnsi="仿宋_GB2312" w:eastAsia="仿宋_GB2312" w:cs="Times New Roman"/>
          <w:sz w:val="32"/>
          <w:szCs w:val="32"/>
        </w:rPr>
      </w:pPr>
      <w:r>
        <w:rPr>
          <w:rFonts w:hint="eastAsia" w:ascii="仿宋_GB2312" w:hAnsi="仿宋_GB2312" w:eastAsia="仿宋_GB2312" w:cs="仿宋_GB2312"/>
          <w:sz w:val="32"/>
          <w:szCs w:val="32"/>
        </w:rPr>
        <w:t>根据工程项目完工验收资料显示，截止</w:t>
      </w:r>
      <w:r>
        <w:rPr>
          <w:rFonts w:ascii="仿宋_GB2312" w:hAnsi="仿宋_GB2312" w:eastAsia="仿宋_GB2312" w:cs="仿宋_GB2312"/>
          <w:sz w:val="32"/>
          <w:szCs w:val="32"/>
        </w:rPr>
        <w:t>2024</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月底，项目初步验收率为</w:t>
      </w:r>
      <w:bookmarkStart w:id="5" w:name="BOOK_三32项目初步验收率2023"/>
      <w:r>
        <w:rPr>
          <w:rFonts w:ascii="仿宋_GB2312" w:hAnsi="仿宋_GB2312" w:eastAsia="仿宋_GB2312" w:cs="仿宋_GB2312"/>
          <w:sz w:val="32"/>
          <w:szCs w:val="32"/>
        </w:rPr>
        <w:t>100</w:t>
      </w:r>
      <w:bookmarkEnd w:id="5"/>
      <w:r>
        <w:rPr>
          <w:rFonts w:ascii="仿宋_GB2312" w:hAnsi="仿宋_GB2312" w:eastAsia="仿宋_GB2312" w:cs="仿宋_GB2312"/>
          <w:sz w:val="32"/>
          <w:szCs w:val="32"/>
        </w:rPr>
        <w:t>%</w:t>
      </w:r>
      <w:r>
        <w:rPr>
          <w:rFonts w:hint="eastAsia" w:ascii="仿宋_GB2312" w:hAnsi="仿宋_GB2312" w:eastAsia="仿宋_GB2312" w:cs="仿宋_GB2312"/>
          <w:sz w:val="32"/>
          <w:szCs w:val="32"/>
        </w:rPr>
        <w:t>，工程验收合格率为</w:t>
      </w:r>
      <w:bookmarkStart w:id="6" w:name="BOOK_三32工程验收合格率"/>
      <w:r>
        <w:rPr>
          <w:rFonts w:ascii="仿宋_GB2312" w:hAnsi="仿宋_GB2312" w:eastAsia="仿宋_GB2312" w:cs="仿宋_GB2312"/>
          <w:sz w:val="32"/>
          <w:szCs w:val="32"/>
        </w:rPr>
        <w:t>100</w:t>
      </w:r>
      <w:bookmarkEnd w:id="6"/>
      <w:r>
        <w:rPr>
          <w:rFonts w:ascii="仿宋_GB2312" w:hAnsi="仿宋_GB2312" w:eastAsia="仿宋_GB2312" w:cs="仿宋_GB2312"/>
          <w:sz w:val="32"/>
          <w:szCs w:val="32"/>
        </w:rPr>
        <w:t>%</w:t>
      </w:r>
      <w:r>
        <w:rPr>
          <w:rFonts w:hint="eastAsia" w:ascii="仿宋_GB2312" w:hAnsi="仿宋_GB2312" w:eastAsia="仿宋_GB2312" w:cs="仿宋_GB2312"/>
          <w:sz w:val="32"/>
          <w:szCs w:val="32"/>
        </w:rPr>
        <w:t>，已建工程未发现工程质量问题。</w:t>
      </w:r>
    </w:p>
    <w:p>
      <w:pPr>
        <w:pageBreakBefore w:val="0"/>
        <w:widowControl w:val="0"/>
        <w:kinsoku/>
        <w:wordWrap/>
        <w:overflowPunct/>
        <w:topLinePunct w:val="0"/>
        <w:bidi w:val="0"/>
        <w:snapToGrid/>
        <w:spacing w:line="600" w:lineRule="exact"/>
        <w:ind w:firstLine="31680"/>
        <w:textAlignment w:val="auto"/>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3.项目时效指标</w:t>
      </w:r>
    </w:p>
    <w:p>
      <w:pPr>
        <w:pStyle w:val="19"/>
        <w:pageBreakBefore w:val="0"/>
        <w:kinsoku/>
        <w:wordWrap/>
        <w:overflowPunct/>
        <w:topLinePunct w:val="0"/>
        <w:bidi w:val="0"/>
        <w:snapToGrid/>
        <w:spacing w:after="0" w:line="600" w:lineRule="exact"/>
        <w:ind w:firstLine="640" w:firstLineChars="200"/>
        <w:jc w:val="both"/>
        <w:textAlignment w:val="auto"/>
        <w:rPr>
          <w:rFonts w:hint="eastAsia" w:ascii="仿宋_GB2312" w:hAnsi="仿宋_GB2312" w:eastAsia="仿宋_GB2312" w:cs="仿宋_GB2312"/>
          <w:sz w:val="32"/>
          <w:szCs w:val="32"/>
        </w:rPr>
      </w:pPr>
      <w:r>
        <w:rPr>
          <w:rFonts w:ascii="仿宋_GB2312" w:hAnsi="仿宋_GB2312" w:eastAsia="仿宋_GB2312" w:cs="仿宋_GB2312"/>
          <w:color w:val="auto"/>
          <w:kern w:val="2"/>
          <w:sz w:val="32"/>
          <w:szCs w:val="32"/>
        </w:rPr>
        <w:t>2023</w:t>
      </w:r>
      <w:r>
        <w:rPr>
          <w:rFonts w:hint="eastAsia" w:ascii="仿宋_GB2312" w:hAnsi="仿宋_GB2312" w:eastAsia="仿宋_GB2312" w:cs="仿宋_GB2312"/>
          <w:color w:val="auto"/>
          <w:kern w:val="2"/>
          <w:sz w:val="32"/>
          <w:szCs w:val="32"/>
        </w:rPr>
        <w:t>年度，韶关市曲江区水利发展资金项目总数为</w:t>
      </w:r>
      <w:r>
        <w:rPr>
          <w:rFonts w:ascii="仿宋_GB2312" w:hAnsi="仿宋_GB2312" w:eastAsia="仿宋_GB2312" w:cs="仿宋_GB2312"/>
          <w:color w:val="auto"/>
          <w:kern w:val="2"/>
          <w:sz w:val="32"/>
          <w:szCs w:val="32"/>
        </w:rPr>
        <w:t>2</w:t>
      </w:r>
      <w:r>
        <w:rPr>
          <w:rFonts w:hint="eastAsia" w:ascii="仿宋_GB2312" w:hAnsi="仿宋_GB2312" w:eastAsia="仿宋_GB2312" w:cs="仿宋_GB2312"/>
          <w:sz w:val="32"/>
          <w:szCs w:val="32"/>
        </w:rPr>
        <w:t>个</w:t>
      </w:r>
      <w:r>
        <w:rPr>
          <w:rFonts w:hint="eastAsia" w:ascii="仿宋_GB2312" w:hAnsi="仿宋_GB2312" w:eastAsia="仿宋_GB2312" w:cs="仿宋_GB2312"/>
          <w:color w:val="auto"/>
          <w:kern w:val="2"/>
          <w:sz w:val="32"/>
          <w:szCs w:val="32"/>
        </w:rPr>
        <w:t>，截至</w:t>
      </w:r>
      <w:r>
        <w:rPr>
          <w:rFonts w:ascii="仿宋_GB2312" w:hAnsi="仿宋_GB2312" w:eastAsia="仿宋_GB2312" w:cs="仿宋_GB2312"/>
          <w:color w:val="auto"/>
          <w:kern w:val="2"/>
          <w:sz w:val="32"/>
          <w:szCs w:val="32"/>
        </w:rPr>
        <w:t>2024</w:t>
      </w:r>
      <w:r>
        <w:rPr>
          <w:rFonts w:hint="eastAsia" w:ascii="仿宋_GB2312" w:hAnsi="仿宋_GB2312" w:eastAsia="仿宋_GB2312" w:cs="仿宋_GB2312"/>
          <w:color w:val="auto"/>
          <w:kern w:val="2"/>
          <w:sz w:val="32"/>
          <w:szCs w:val="32"/>
        </w:rPr>
        <w:t>年</w:t>
      </w:r>
      <w:r>
        <w:rPr>
          <w:rFonts w:ascii="仿宋_GB2312" w:hAnsi="仿宋_GB2312" w:eastAsia="仿宋_GB2312" w:cs="仿宋_GB2312"/>
          <w:color w:val="auto"/>
          <w:kern w:val="2"/>
          <w:sz w:val="32"/>
          <w:szCs w:val="32"/>
        </w:rPr>
        <w:t>6</w:t>
      </w:r>
      <w:r>
        <w:rPr>
          <w:rFonts w:hint="eastAsia" w:ascii="仿宋_GB2312" w:hAnsi="仿宋_GB2312" w:eastAsia="仿宋_GB2312" w:cs="仿宋_GB2312"/>
          <w:color w:val="auto"/>
          <w:kern w:val="2"/>
          <w:sz w:val="32"/>
          <w:szCs w:val="32"/>
        </w:rPr>
        <w:t>月底，项目开工</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w:t>
      </w:r>
      <w:r>
        <w:rPr>
          <w:rFonts w:hint="eastAsia" w:ascii="仿宋_GB2312" w:hAnsi="仿宋_GB2312" w:eastAsia="仿宋_GB2312" w:cs="仿宋_GB2312"/>
          <w:color w:val="auto"/>
          <w:kern w:val="2"/>
          <w:sz w:val="32"/>
          <w:szCs w:val="32"/>
        </w:rPr>
        <w:t>、完工</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w:t>
      </w:r>
      <w:r>
        <w:rPr>
          <w:rFonts w:hint="eastAsia" w:ascii="仿宋_GB2312" w:hAnsi="仿宋_GB2312" w:eastAsia="仿宋_GB2312" w:cs="仿宋_GB2312"/>
          <w:color w:val="auto"/>
          <w:kern w:val="2"/>
          <w:sz w:val="32"/>
          <w:szCs w:val="32"/>
        </w:rPr>
        <w:t>验收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个、验收合格</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个，完工率</w:t>
      </w:r>
      <w:bookmarkStart w:id="7" w:name="BOOK_三33完工率"/>
      <w:r>
        <w:rPr>
          <w:rFonts w:ascii="仿宋_GB2312" w:hAnsi="仿宋_GB2312" w:eastAsia="仿宋_GB2312" w:cs="仿宋_GB2312"/>
          <w:sz w:val="32"/>
          <w:szCs w:val="32"/>
        </w:rPr>
        <w:t>100</w:t>
      </w:r>
      <w:bookmarkEnd w:id="7"/>
      <w:r>
        <w:rPr>
          <w:rFonts w:ascii="仿宋_GB2312" w:hAnsi="仿宋_GB2312" w:eastAsia="仿宋_GB2312" w:cs="仿宋_GB2312"/>
          <w:sz w:val="32"/>
          <w:szCs w:val="32"/>
        </w:rPr>
        <w:t>%</w:t>
      </w:r>
      <w:r>
        <w:rPr>
          <w:rFonts w:hint="eastAsia" w:ascii="仿宋_GB2312" w:hAnsi="仿宋_GB2312" w:eastAsia="仿宋_GB2312" w:cs="仿宋_GB2312"/>
          <w:sz w:val="32"/>
          <w:szCs w:val="32"/>
        </w:rPr>
        <w:t>、验收率</w:t>
      </w:r>
      <w:bookmarkStart w:id="8" w:name="BOOK_三33验收率"/>
      <w:r>
        <w:rPr>
          <w:rFonts w:ascii="仿宋_GB2312" w:hAnsi="仿宋_GB2312" w:eastAsia="仿宋_GB2312" w:cs="仿宋_GB2312"/>
          <w:sz w:val="32"/>
          <w:szCs w:val="32"/>
        </w:rPr>
        <w:t>100</w:t>
      </w:r>
      <w:bookmarkEnd w:id="8"/>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pPr>
        <w:spacing w:line="572" w:lineRule="exact"/>
        <w:ind w:firstLine="0" w:firstLineChars="0"/>
        <w:jc w:val="center"/>
        <w:rPr>
          <w:b/>
          <w:bCs/>
          <w:sz w:val="30"/>
          <w:szCs w:val="30"/>
        </w:rPr>
      </w:pPr>
      <w:r>
        <w:rPr>
          <w:rFonts w:hint="eastAsia" w:cs="仿宋_GB2312"/>
          <w:b/>
          <w:bCs/>
          <w:sz w:val="30"/>
          <w:szCs w:val="30"/>
        </w:rPr>
        <w:t>表</w:t>
      </w:r>
      <w:r>
        <w:rPr>
          <w:b/>
          <w:bCs/>
          <w:sz w:val="30"/>
          <w:szCs w:val="30"/>
        </w:rPr>
        <w:t xml:space="preserve">4 </w:t>
      </w:r>
      <w:r>
        <w:rPr>
          <w:rFonts w:ascii="仿宋_GB2312" w:hAnsi="仿宋_GB2312" w:cs="仿宋_GB2312"/>
          <w:b/>
          <w:bCs/>
          <w:sz w:val="30"/>
          <w:szCs w:val="30"/>
        </w:rPr>
        <w:t xml:space="preserve"> 2023</w:t>
      </w:r>
      <w:r>
        <w:rPr>
          <w:rFonts w:hint="eastAsia" w:cs="仿宋_GB2312"/>
          <w:b/>
          <w:bCs/>
          <w:sz w:val="30"/>
          <w:szCs w:val="30"/>
        </w:rPr>
        <w:t>年度水利发展资金项目实施情况表</w:t>
      </w:r>
    </w:p>
    <w:tbl>
      <w:tblPr>
        <w:tblStyle w:val="8"/>
        <w:tblW w:w="8907" w:type="dxa"/>
        <w:tblInd w:w="-49" w:type="dxa"/>
        <w:tblLayout w:type="fixed"/>
        <w:tblCellMar>
          <w:top w:w="0" w:type="dxa"/>
          <w:left w:w="51" w:type="dxa"/>
          <w:bottom w:w="0" w:type="dxa"/>
          <w:right w:w="51" w:type="dxa"/>
        </w:tblCellMar>
      </w:tblPr>
      <w:tblGrid>
        <w:gridCol w:w="2700"/>
        <w:gridCol w:w="916"/>
        <w:gridCol w:w="900"/>
        <w:gridCol w:w="850"/>
        <w:gridCol w:w="934"/>
        <w:gridCol w:w="836"/>
        <w:gridCol w:w="946"/>
        <w:gridCol w:w="825"/>
      </w:tblGrid>
      <w:tr>
        <w:tblPrEx>
          <w:tblCellMar>
            <w:top w:w="0" w:type="dxa"/>
            <w:left w:w="51" w:type="dxa"/>
            <w:bottom w:w="0" w:type="dxa"/>
            <w:right w:w="51" w:type="dxa"/>
          </w:tblCellMar>
        </w:tblPrEx>
        <w:trPr>
          <w:trHeight w:val="436" w:hRule="atLeast"/>
          <w:tblHeader/>
        </w:trPr>
        <w:tc>
          <w:tcPr>
            <w:tcW w:w="2700"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kern w:val="0"/>
                <w:sz w:val="21"/>
                <w:szCs w:val="21"/>
              </w:rPr>
              <w:t>分类</w:t>
            </w:r>
          </w:p>
        </w:tc>
        <w:tc>
          <w:tcPr>
            <w:tcW w:w="4436" w:type="dxa"/>
            <w:gridSpan w:val="5"/>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实施项目数（个）</w:t>
            </w:r>
          </w:p>
        </w:tc>
        <w:tc>
          <w:tcPr>
            <w:tcW w:w="946" w:type="dxa"/>
            <w:vMerge w:val="restart"/>
            <w:tcBorders>
              <w:top w:val="single" w:color="auto" w:sz="4" w:space="0"/>
              <w:left w:val="single" w:color="auto" w:sz="4" w:space="0"/>
              <w:bottom w:val="single" w:color="000000"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项目</w:t>
            </w:r>
          </w:p>
          <w:p>
            <w:pPr>
              <w:spacing w:line="260" w:lineRule="exact"/>
              <w:ind w:firstLine="0" w:firstLineChars="0"/>
              <w:jc w:val="center"/>
              <w:rPr>
                <w:color w:val="000000"/>
                <w:kern w:val="0"/>
                <w:sz w:val="21"/>
                <w:szCs w:val="21"/>
              </w:rPr>
            </w:pPr>
            <w:r>
              <w:rPr>
                <w:rFonts w:hint="eastAsia" w:cs="仿宋_GB2312"/>
                <w:color w:val="000000"/>
                <w:kern w:val="0"/>
                <w:sz w:val="21"/>
                <w:szCs w:val="21"/>
              </w:rPr>
              <w:t>完工率（</w:t>
            </w:r>
            <w:r>
              <w:rPr>
                <w:color w:val="000000"/>
                <w:kern w:val="0"/>
                <w:sz w:val="21"/>
                <w:szCs w:val="21"/>
              </w:rPr>
              <w:t>%</w:t>
            </w:r>
            <w:r>
              <w:rPr>
                <w:rFonts w:hint="eastAsia" w:cs="仿宋_GB2312"/>
                <w:color w:val="000000"/>
                <w:kern w:val="0"/>
                <w:sz w:val="21"/>
                <w:szCs w:val="21"/>
              </w:rPr>
              <w:t>）</w:t>
            </w:r>
          </w:p>
        </w:tc>
        <w:tc>
          <w:tcPr>
            <w:tcW w:w="825" w:type="dxa"/>
            <w:vMerge w:val="restart"/>
            <w:tcBorders>
              <w:top w:val="single" w:color="auto" w:sz="4" w:space="0"/>
              <w:left w:val="single" w:color="auto" w:sz="4" w:space="0"/>
              <w:bottom w:val="single" w:color="000000"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项目</w:t>
            </w:r>
          </w:p>
          <w:p>
            <w:pPr>
              <w:spacing w:line="260" w:lineRule="exact"/>
              <w:ind w:firstLine="0" w:firstLineChars="0"/>
              <w:jc w:val="center"/>
              <w:rPr>
                <w:color w:val="000000"/>
                <w:kern w:val="0"/>
                <w:sz w:val="21"/>
                <w:szCs w:val="21"/>
              </w:rPr>
            </w:pPr>
            <w:r>
              <w:rPr>
                <w:rFonts w:hint="eastAsia" w:cs="仿宋_GB2312"/>
                <w:color w:val="000000"/>
                <w:kern w:val="0"/>
                <w:sz w:val="21"/>
                <w:szCs w:val="21"/>
              </w:rPr>
              <w:t>验收率（</w:t>
            </w:r>
            <w:r>
              <w:rPr>
                <w:color w:val="000000"/>
                <w:kern w:val="0"/>
                <w:sz w:val="21"/>
                <w:szCs w:val="21"/>
              </w:rPr>
              <w:t>%</w:t>
            </w:r>
            <w:r>
              <w:rPr>
                <w:rFonts w:hint="eastAsia" w:cs="仿宋_GB2312"/>
                <w:color w:val="000000"/>
                <w:kern w:val="0"/>
                <w:sz w:val="21"/>
                <w:szCs w:val="21"/>
              </w:rPr>
              <w:t>）</w:t>
            </w:r>
          </w:p>
        </w:tc>
      </w:tr>
      <w:tr>
        <w:tblPrEx>
          <w:tblCellMar>
            <w:top w:w="0" w:type="dxa"/>
            <w:left w:w="51" w:type="dxa"/>
            <w:bottom w:w="0" w:type="dxa"/>
            <w:right w:w="51" w:type="dxa"/>
          </w:tblCellMar>
        </w:tblPrEx>
        <w:trPr>
          <w:trHeight w:val="20" w:hRule="atLeast"/>
          <w:tblHeader/>
        </w:trPr>
        <w:tc>
          <w:tcPr>
            <w:tcW w:w="2700" w:type="dxa"/>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p>
        </w:tc>
        <w:tc>
          <w:tcPr>
            <w:tcW w:w="916" w:type="dxa"/>
            <w:tcBorders>
              <w:top w:val="nil"/>
              <w:left w:val="nil"/>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总数</w:t>
            </w:r>
          </w:p>
        </w:tc>
        <w:tc>
          <w:tcPr>
            <w:tcW w:w="900" w:type="dxa"/>
            <w:tcBorders>
              <w:top w:val="nil"/>
              <w:left w:val="nil"/>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项目</w:t>
            </w:r>
          </w:p>
          <w:p>
            <w:pPr>
              <w:spacing w:line="260" w:lineRule="exact"/>
              <w:ind w:firstLine="0" w:firstLineChars="0"/>
              <w:jc w:val="center"/>
              <w:rPr>
                <w:color w:val="000000"/>
                <w:kern w:val="0"/>
                <w:sz w:val="21"/>
                <w:szCs w:val="21"/>
              </w:rPr>
            </w:pPr>
            <w:r>
              <w:rPr>
                <w:rFonts w:hint="eastAsia" w:cs="仿宋_GB2312"/>
                <w:color w:val="000000"/>
                <w:kern w:val="0"/>
                <w:sz w:val="21"/>
                <w:szCs w:val="21"/>
              </w:rPr>
              <w:t>开工</w:t>
            </w:r>
          </w:p>
        </w:tc>
        <w:tc>
          <w:tcPr>
            <w:tcW w:w="850" w:type="dxa"/>
            <w:tcBorders>
              <w:top w:val="nil"/>
              <w:left w:val="nil"/>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项目</w:t>
            </w:r>
          </w:p>
          <w:p>
            <w:pPr>
              <w:spacing w:line="260" w:lineRule="exact"/>
              <w:ind w:firstLine="0" w:firstLineChars="0"/>
              <w:jc w:val="center"/>
              <w:rPr>
                <w:color w:val="000000"/>
                <w:kern w:val="0"/>
                <w:sz w:val="21"/>
                <w:szCs w:val="21"/>
              </w:rPr>
            </w:pPr>
            <w:r>
              <w:rPr>
                <w:rFonts w:hint="eastAsia" w:cs="仿宋_GB2312"/>
                <w:color w:val="000000"/>
                <w:kern w:val="0"/>
                <w:sz w:val="21"/>
                <w:szCs w:val="21"/>
              </w:rPr>
              <w:t>完工</w:t>
            </w:r>
          </w:p>
        </w:tc>
        <w:tc>
          <w:tcPr>
            <w:tcW w:w="934" w:type="dxa"/>
            <w:tcBorders>
              <w:top w:val="nil"/>
              <w:left w:val="nil"/>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完工</w:t>
            </w:r>
          </w:p>
          <w:p>
            <w:pPr>
              <w:spacing w:line="260" w:lineRule="exact"/>
              <w:ind w:firstLine="0" w:firstLineChars="0"/>
              <w:jc w:val="center"/>
              <w:rPr>
                <w:color w:val="000000"/>
                <w:kern w:val="0"/>
                <w:sz w:val="21"/>
                <w:szCs w:val="21"/>
              </w:rPr>
            </w:pPr>
            <w:r>
              <w:rPr>
                <w:rFonts w:hint="eastAsia" w:cs="仿宋_GB2312"/>
                <w:color w:val="000000"/>
                <w:kern w:val="0"/>
                <w:sz w:val="21"/>
                <w:szCs w:val="21"/>
              </w:rPr>
              <w:t>验收</w:t>
            </w:r>
          </w:p>
        </w:tc>
        <w:tc>
          <w:tcPr>
            <w:tcW w:w="836" w:type="dxa"/>
            <w:tcBorders>
              <w:top w:val="nil"/>
              <w:left w:val="nil"/>
              <w:bottom w:val="single" w:color="auto" w:sz="4" w:space="0"/>
              <w:right w:val="single" w:color="auto" w:sz="4" w:space="0"/>
            </w:tcBorders>
            <w:vAlign w:val="center"/>
          </w:tcPr>
          <w:p>
            <w:pPr>
              <w:spacing w:line="260" w:lineRule="exact"/>
              <w:ind w:firstLine="0" w:firstLineChars="0"/>
              <w:jc w:val="center"/>
              <w:rPr>
                <w:color w:val="000000"/>
                <w:kern w:val="0"/>
                <w:sz w:val="21"/>
                <w:szCs w:val="21"/>
              </w:rPr>
            </w:pPr>
            <w:r>
              <w:rPr>
                <w:rFonts w:hint="eastAsia" w:cs="仿宋_GB2312"/>
                <w:color w:val="000000"/>
                <w:kern w:val="0"/>
                <w:sz w:val="21"/>
                <w:szCs w:val="21"/>
              </w:rPr>
              <w:t>验收</w:t>
            </w:r>
          </w:p>
          <w:p>
            <w:pPr>
              <w:spacing w:line="260" w:lineRule="exact"/>
              <w:ind w:firstLine="0" w:firstLineChars="0"/>
              <w:jc w:val="center"/>
              <w:rPr>
                <w:color w:val="000000"/>
                <w:kern w:val="0"/>
                <w:sz w:val="21"/>
                <w:szCs w:val="21"/>
              </w:rPr>
            </w:pPr>
            <w:r>
              <w:rPr>
                <w:rFonts w:hint="eastAsia" w:cs="仿宋_GB2312"/>
                <w:color w:val="000000"/>
                <w:kern w:val="0"/>
                <w:sz w:val="21"/>
                <w:szCs w:val="21"/>
              </w:rPr>
              <w:t>合格</w:t>
            </w:r>
          </w:p>
        </w:tc>
        <w:tc>
          <w:tcPr>
            <w:tcW w:w="946" w:type="dxa"/>
            <w:vMerge w:val="continue"/>
            <w:tcBorders>
              <w:top w:val="single" w:color="auto" w:sz="4" w:space="0"/>
              <w:left w:val="single" w:color="auto" w:sz="4" w:space="0"/>
              <w:bottom w:val="single" w:color="000000" w:sz="4" w:space="0"/>
              <w:right w:val="single" w:color="auto" w:sz="4" w:space="0"/>
            </w:tcBorders>
            <w:vAlign w:val="center"/>
          </w:tcPr>
          <w:p>
            <w:pPr>
              <w:spacing w:line="260" w:lineRule="exact"/>
              <w:ind w:firstLine="0" w:firstLineChars="0"/>
              <w:jc w:val="center"/>
              <w:rPr>
                <w:color w:val="000000"/>
                <w:kern w:val="0"/>
                <w:sz w:val="21"/>
                <w:szCs w:val="21"/>
              </w:rPr>
            </w:pPr>
          </w:p>
        </w:tc>
        <w:tc>
          <w:tcPr>
            <w:tcW w:w="825" w:type="dxa"/>
            <w:vMerge w:val="continue"/>
            <w:tcBorders>
              <w:top w:val="single" w:color="auto" w:sz="4" w:space="0"/>
              <w:left w:val="single" w:color="auto" w:sz="4" w:space="0"/>
              <w:bottom w:val="single" w:color="000000" w:sz="4" w:space="0"/>
              <w:right w:val="single" w:color="auto" w:sz="4" w:space="0"/>
            </w:tcBorders>
            <w:vAlign w:val="center"/>
          </w:tcPr>
          <w:p>
            <w:pPr>
              <w:spacing w:line="260" w:lineRule="exact"/>
              <w:ind w:firstLine="0" w:firstLineChars="0"/>
              <w:jc w:val="center"/>
              <w:rPr>
                <w:color w:val="000000"/>
                <w:kern w:val="0"/>
                <w:sz w:val="21"/>
                <w:szCs w:val="21"/>
              </w:rPr>
            </w:pPr>
          </w:p>
        </w:tc>
      </w:tr>
      <w:tr>
        <w:tblPrEx>
          <w:tblCellMar>
            <w:top w:w="0" w:type="dxa"/>
            <w:left w:w="51" w:type="dxa"/>
            <w:bottom w:w="0" w:type="dxa"/>
            <w:right w:w="51" w:type="dxa"/>
          </w:tblCellMar>
        </w:tblPrEx>
        <w:tc>
          <w:tcPr>
            <w:tcW w:w="2700"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hint="eastAsia" w:ascii="仿宋_GB2312" w:hAnsi="仿宋_GB2312" w:cs="仿宋_GB2312"/>
                <w:sz w:val="21"/>
                <w:szCs w:val="21"/>
              </w:rPr>
              <w:t>小型水库工程设施维修养护</w:t>
            </w:r>
          </w:p>
        </w:tc>
        <w:tc>
          <w:tcPr>
            <w:tcW w:w="916"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900"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850"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934"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836"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946"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100</w:t>
            </w:r>
          </w:p>
        </w:tc>
        <w:tc>
          <w:tcPr>
            <w:tcW w:w="825"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100</w:t>
            </w:r>
          </w:p>
        </w:tc>
      </w:tr>
      <w:tr>
        <w:tblPrEx>
          <w:tblCellMar>
            <w:top w:w="0" w:type="dxa"/>
            <w:left w:w="51" w:type="dxa"/>
            <w:bottom w:w="0" w:type="dxa"/>
            <w:right w:w="51" w:type="dxa"/>
          </w:tblCellMar>
        </w:tblPrEx>
        <w:tc>
          <w:tcPr>
            <w:tcW w:w="2700"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hint="eastAsia" w:ascii="仿宋_GB2312" w:hAnsi="仿宋_GB2312" w:cs="仿宋_GB2312"/>
                <w:sz w:val="21"/>
                <w:szCs w:val="21"/>
              </w:rPr>
              <w:t>农业水价综合改革</w:t>
            </w:r>
          </w:p>
        </w:tc>
        <w:tc>
          <w:tcPr>
            <w:tcW w:w="916"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900"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850"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934"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836"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w:t>
            </w:r>
          </w:p>
        </w:tc>
        <w:tc>
          <w:tcPr>
            <w:tcW w:w="946"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100</w:t>
            </w:r>
          </w:p>
        </w:tc>
        <w:tc>
          <w:tcPr>
            <w:tcW w:w="825" w:type="dxa"/>
            <w:tcBorders>
              <w:top w:val="single" w:color="auto" w:sz="4" w:space="0"/>
              <w:left w:val="single" w:color="auto" w:sz="4" w:space="0"/>
              <w:bottom w:val="single" w:color="auto" w:sz="4" w:space="0"/>
              <w:right w:val="single" w:color="auto" w:sz="4" w:space="0"/>
            </w:tcBorders>
          </w:tcPr>
          <w:p>
            <w:pPr>
              <w:ind w:firstLine="0" w:firstLineChars="0"/>
              <w:jc w:val="center"/>
              <w:rPr>
                <w:sz w:val="21"/>
                <w:szCs w:val="21"/>
              </w:rPr>
            </w:pPr>
            <w:r>
              <w:rPr>
                <w:rFonts w:ascii="仿宋_GB2312" w:hAnsi="仿宋_GB2312" w:cs="仿宋_GB2312"/>
                <w:sz w:val="21"/>
                <w:szCs w:val="21"/>
              </w:rPr>
              <w:t>100</w:t>
            </w:r>
          </w:p>
        </w:tc>
      </w:tr>
    </w:tbl>
    <w:p>
      <w:pPr>
        <w:pageBreakBefore w:val="0"/>
        <w:widowControl w:val="0"/>
        <w:kinsoku/>
        <w:wordWrap/>
        <w:overflowPunct/>
        <w:topLinePunct w:val="0"/>
        <w:autoSpaceDE/>
        <w:autoSpaceDN/>
        <w:bidi w:val="0"/>
        <w:adjustRightInd/>
        <w:snapToGrid/>
        <w:spacing w:line="600" w:lineRule="exact"/>
        <w:ind w:firstLine="3168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4.项目成本指标</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hint="eastAsia" w:ascii="仿宋_GB2312" w:hAns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w:t>
      </w:r>
      <w:bookmarkStart w:id="9" w:name="BOOK_三34市县"/>
      <w:r>
        <w:rPr>
          <w:rFonts w:hint="eastAsia" w:ascii="仿宋_GB2312" w:hAnsi="仿宋_GB2312" w:cs="仿宋_GB2312"/>
          <w:sz w:val="32"/>
          <w:szCs w:val="32"/>
        </w:rPr>
        <w:t>韶关市曲江区</w:t>
      </w:r>
      <w:bookmarkEnd w:id="9"/>
      <w:r>
        <w:rPr>
          <w:rFonts w:hint="eastAsia" w:ascii="仿宋_GB2312" w:hAnsi="仿宋_GB2312" w:cs="仿宋_GB2312"/>
          <w:sz w:val="32"/>
          <w:szCs w:val="32"/>
        </w:rPr>
        <w:t>严格控制项目实施的成本（预算），实际投资均未超出预算投资，实际执行均按合同支付。</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hint="eastAsia" w:eastAsia="楷体_GB2312" w:cs="楷体_GB2312"/>
          <w:b w:val="0"/>
          <w:bCs w:val="0"/>
          <w:sz w:val="32"/>
          <w:szCs w:val="32"/>
        </w:rPr>
      </w:pPr>
      <w:r>
        <w:rPr>
          <w:rFonts w:hint="eastAsia" w:eastAsia="楷体_GB2312" w:cs="楷体_GB2312"/>
          <w:b w:val="0"/>
          <w:bCs w:val="0"/>
          <w:sz w:val="32"/>
          <w:szCs w:val="32"/>
        </w:rPr>
        <w:t>（四）效益指标完成情况分析</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1.总体情况</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hint="eastAsia" w:cs="仿宋_GB2312"/>
          <w:sz w:val="32"/>
          <w:szCs w:val="32"/>
        </w:rPr>
      </w:pPr>
      <w:r>
        <w:rPr>
          <w:rFonts w:hint="eastAsia" w:cs="仿宋_GB2312"/>
          <w:sz w:val="32"/>
          <w:szCs w:val="32"/>
        </w:rPr>
        <w:t>（</w:t>
      </w:r>
      <w:r>
        <w:rPr>
          <w:sz w:val="32"/>
          <w:szCs w:val="32"/>
        </w:rPr>
        <w:t>1</w:t>
      </w:r>
      <w:r>
        <w:rPr>
          <w:rFonts w:hint="eastAsia" w:cs="仿宋_GB2312"/>
          <w:sz w:val="32"/>
          <w:szCs w:val="32"/>
        </w:rPr>
        <w:t>）项目实施的社会效益分析</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ascii="仿宋_GB2312"/>
          <w:sz w:val="32"/>
          <w:szCs w:val="32"/>
        </w:rPr>
      </w:pPr>
      <w:r>
        <w:rPr>
          <w:rFonts w:hint="eastAsia" w:ascii="仿宋_GB2312" w:hAnsi="仿宋_GB2312" w:cs="仿宋_GB2312"/>
          <w:sz w:val="32"/>
          <w:szCs w:val="32"/>
        </w:rPr>
        <w:t>批复的社会效益指标：其他水利工程设施维修养护覆盖服务人口</w:t>
      </w:r>
      <w:r>
        <w:rPr>
          <w:rFonts w:ascii="仿宋_GB2312" w:hAnsi="仿宋_GB2312" w:cs="仿宋_GB2312"/>
          <w:sz w:val="32"/>
          <w:szCs w:val="32"/>
        </w:rPr>
        <w:t>1.69</w:t>
      </w:r>
      <w:r>
        <w:rPr>
          <w:rFonts w:hint="eastAsia" w:ascii="仿宋_GB2312" w:hAnsi="仿宋_GB2312" w:cs="仿宋_GB2312"/>
          <w:sz w:val="32"/>
          <w:szCs w:val="32"/>
        </w:rPr>
        <w:t>万人。</w:t>
      </w:r>
    </w:p>
    <w:p>
      <w:pPr>
        <w:pageBreakBefore w:val="0"/>
        <w:widowControl w:val="0"/>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hint="eastAsia" w:ascii="仿宋_GB2312" w:hAnsi="仿宋_GB2312" w:cs="仿宋_GB2312"/>
          <w:sz w:val="32"/>
          <w:szCs w:val="32"/>
        </w:rPr>
        <w:t>通过实施</w:t>
      </w:r>
      <w:r>
        <w:rPr>
          <w:rFonts w:ascii="仿宋_GB2312" w:hAnsi="仿宋_GB2312" w:cs="仿宋_GB2312"/>
          <w:sz w:val="32"/>
          <w:szCs w:val="32"/>
        </w:rPr>
        <w:t>2023</w:t>
      </w:r>
      <w:r>
        <w:rPr>
          <w:rFonts w:hint="eastAsia" w:ascii="仿宋_GB2312" w:hAnsi="仿宋_GB2312" w:cs="仿宋_GB2312"/>
          <w:sz w:val="32"/>
          <w:szCs w:val="32"/>
        </w:rPr>
        <w:t>年曲江区小型水库工程设施维修养护，社会效益指标完成情况为：其他水利工程设施维修养护覆盖服务人口</w:t>
      </w:r>
      <w:r>
        <w:rPr>
          <w:rFonts w:ascii="仿宋_GB2312" w:hAnsi="仿宋_GB2312" w:cs="仿宋_GB2312"/>
          <w:sz w:val="32"/>
          <w:szCs w:val="32"/>
        </w:rPr>
        <w:t>1.69</w:t>
      </w:r>
      <w:r>
        <w:rPr>
          <w:rFonts w:hint="eastAsia" w:ascii="仿宋_GB2312" w:hAnsi="仿宋_GB2312" w:cs="仿宋_GB2312"/>
          <w:sz w:val="32"/>
          <w:szCs w:val="32"/>
        </w:rPr>
        <w:t>万人。</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ascii="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曲江区小型水库工程设施维修养护项目的实施保证了水利工程的安全运行，确保人民群众的生命财产安全和生产生活用水，对改善当地农民的生活和促进农业生产的发展起到积极的作用。同时促进了地区经济繁荣，优化投资环境，维持城镇及农村的正常秩序，还可以合理利用工程的水利优势和水利资源进一步综合开发沿河两岸，在稳定农村经济发展的前提下，调整发展思路，优化经济结构，吸引外资企业，从而美化城市、繁荣经济。项目对环境、资源等外部条件无负效应，有利于影响社会、经济和环境的可持续发展。为国民经济重新健康发展和社会稳定提高安全保障。社会效益和经济效益显著。</w:t>
      </w:r>
    </w:p>
    <w:p>
      <w:pPr>
        <w:pStyle w:val="2"/>
        <w:pageBreakBefore w:val="0"/>
        <w:widowControl w:val="0"/>
        <w:kinsoku/>
        <w:wordWrap/>
        <w:overflowPunct/>
        <w:topLinePunct w:val="0"/>
        <w:autoSpaceDE/>
        <w:autoSpaceDN/>
        <w:bidi w:val="0"/>
        <w:adjustRightInd/>
        <w:snapToGrid/>
        <w:spacing w:after="0" w:line="600" w:lineRule="exact"/>
        <w:ind w:firstLine="3168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（2）项目实施的可持续影响分析</w:t>
      </w:r>
    </w:p>
    <w:p>
      <w:pPr>
        <w:pageBreakBefore w:val="0"/>
        <w:widowControl w:val="0"/>
        <w:kinsoku/>
        <w:wordWrap/>
        <w:overflowPunct/>
        <w:topLinePunct w:val="0"/>
        <w:autoSpaceDE/>
        <w:autoSpaceDN/>
        <w:bidi w:val="0"/>
        <w:adjustRightInd/>
        <w:snapToGrid/>
        <w:spacing w:line="600" w:lineRule="exact"/>
        <w:ind w:firstLine="31680"/>
        <w:textAlignment w:val="auto"/>
        <w:rPr>
          <w:sz w:val="32"/>
          <w:szCs w:val="32"/>
        </w:rPr>
      </w:pPr>
      <w:r>
        <w:rPr>
          <w:rFonts w:hint="eastAsia" w:ascii="仿宋_GB2312" w:hAnsi="仿宋_GB2312" w:cs="仿宋_GB2312"/>
          <w:sz w:val="32"/>
          <w:szCs w:val="32"/>
        </w:rPr>
        <w:t>截至</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6</w:t>
      </w:r>
      <w:r>
        <w:rPr>
          <w:rFonts w:hint="eastAsia" w:ascii="仿宋_GB2312" w:hAnsi="仿宋_GB2312" w:cs="仿宋_GB2312"/>
          <w:sz w:val="32"/>
          <w:szCs w:val="32"/>
        </w:rPr>
        <w:t>月底，已建工程</w:t>
      </w:r>
      <w:r>
        <w:rPr>
          <w:rFonts w:hint="eastAsia" w:ascii="仿宋_GB2312" w:hAnsi="仿宋_GB2312" w:cs="仿宋_GB2312"/>
          <w:sz w:val="32"/>
          <w:szCs w:val="32"/>
          <w:u w:val="single"/>
        </w:rPr>
        <w:t>能</w:t>
      </w:r>
      <w:r>
        <w:rPr>
          <w:rFonts w:hint="eastAsia" w:ascii="仿宋_GB2312" w:hAnsi="仿宋_GB2312" w:cs="仿宋_GB2312"/>
          <w:sz w:val="32"/>
          <w:szCs w:val="32"/>
        </w:rPr>
        <w:t>良性运行，工程</w:t>
      </w:r>
      <w:r>
        <w:rPr>
          <w:rFonts w:hint="eastAsia" w:ascii="仿宋_GB2312" w:hAnsi="仿宋_GB2312" w:cs="仿宋_GB2312"/>
          <w:sz w:val="32"/>
          <w:szCs w:val="32"/>
          <w:u w:val="single"/>
        </w:rPr>
        <w:t>能</w:t>
      </w:r>
      <w:r>
        <w:rPr>
          <w:rFonts w:hint="eastAsia" w:ascii="仿宋_GB2312" w:hAnsi="仿宋_GB2312" w:cs="仿宋_GB2312"/>
          <w:sz w:val="32"/>
          <w:szCs w:val="32"/>
        </w:rPr>
        <w:t>达到设计使用年限。</w:t>
      </w:r>
    </w:p>
    <w:p>
      <w:pPr>
        <w:pStyle w:val="4"/>
        <w:pageBreakBefore w:val="0"/>
        <w:widowControl w:val="0"/>
        <w:kinsoku/>
        <w:wordWrap/>
        <w:overflowPunct/>
        <w:topLinePunct w:val="0"/>
        <w:autoSpaceDE/>
        <w:autoSpaceDN/>
        <w:bidi w:val="0"/>
        <w:adjustRightInd/>
        <w:snapToGrid/>
        <w:spacing w:line="600" w:lineRule="exact"/>
        <w:ind w:firstLine="31680"/>
        <w:textAlignment w:val="auto"/>
        <w:rPr>
          <w:rFonts w:eastAsia="楷体_GB2312"/>
          <w:b w:val="0"/>
          <w:bCs w:val="0"/>
          <w:sz w:val="32"/>
          <w:szCs w:val="32"/>
        </w:rPr>
      </w:pPr>
      <w:r>
        <w:rPr>
          <w:rFonts w:hint="eastAsia" w:eastAsia="楷体_GB2312" w:cs="楷体_GB2312"/>
          <w:b w:val="0"/>
          <w:bCs w:val="0"/>
          <w:sz w:val="32"/>
          <w:szCs w:val="32"/>
        </w:rPr>
        <w:t>（五）满意度指标完成情况分析</w:t>
      </w:r>
    </w:p>
    <w:p>
      <w:pPr>
        <w:pageBreakBefore w:val="0"/>
        <w:widowControl w:val="0"/>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hint="eastAsia" w:cs="仿宋_GB2312"/>
          <w:sz w:val="32"/>
          <w:szCs w:val="32"/>
        </w:rPr>
        <w:t>项目实施后，项目建设（管理）单位向受益群众发放了满意度调查问卷，共发放调查问卷</w:t>
      </w:r>
      <w:r>
        <w:rPr>
          <w:rFonts w:ascii="仿宋_GB2312" w:hAnsi="仿宋_GB2312" w:cs="仿宋_GB2312"/>
          <w:sz w:val="32"/>
          <w:szCs w:val="32"/>
        </w:rPr>
        <w:t>20</w:t>
      </w:r>
      <w:r>
        <w:rPr>
          <w:rFonts w:hint="eastAsia" w:ascii="仿宋_GB2312" w:hAnsi="仿宋_GB2312" w:cs="仿宋_GB2312"/>
          <w:sz w:val="32"/>
          <w:szCs w:val="32"/>
        </w:rPr>
        <w:t>份，平均满意度为：</w:t>
      </w:r>
      <w:r>
        <w:rPr>
          <w:rFonts w:ascii="仿宋_GB2312" w:hAnsi="仿宋_GB2312" w:cs="仿宋_GB2312"/>
          <w:sz w:val="32"/>
          <w:szCs w:val="32"/>
        </w:rPr>
        <w:t>99%</w:t>
      </w:r>
      <w:r>
        <w:rPr>
          <w:rFonts w:hint="eastAsia" w:ascii="仿宋_GB2312" w:hAnsi="仿宋_GB2312" w:cs="仿宋_GB2312"/>
          <w:sz w:val="32"/>
          <w:szCs w:val="32"/>
        </w:rPr>
        <w:t>，能达到年度目标值（收益群众满意度≥</w:t>
      </w:r>
      <w:r>
        <w:rPr>
          <w:rFonts w:ascii="仿宋_GB2312" w:hAnsi="仿宋_GB2312" w:cs="仿宋_GB2312"/>
          <w:sz w:val="32"/>
          <w:szCs w:val="32"/>
        </w:rPr>
        <w:t>90%</w:t>
      </w:r>
      <w:r>
        <w:rPr>
          <w:rFonts w:hint="eastAsia" w:ascii="仿宋_GB2312" w:hAnsi="仿宋_GB2312" w:cs="仿宋_GB2312"/>
          <w:sz w:val="32"/>
          <w:szCs w:val="32"/>
        </w:rPr>
        <w:t>）。</w:t>
      </w:r>
    </w:p>
    <w:p>
      <w:pPr>
        <w:ind w:firstLine="0" w:firstLineChars="0"/>
        <w:jc w:val="center"/>
        <w:rPr>
          <w:rFonts w:hint="eastAsia" w:cs="仿宋_GB2312"/>
        </w:rPr>
      </w:pPr>
    </w:p>
    <w:p>
      <w:pPr>
        <w:ind w:firstLine="0" w:firstLineChars="0"/>
        <w:jc w:val="center"/>
        <w:rPr>
          <w:b/>
          <w:bCs/>
          <w:sz w:val="30"/>
          <w:szCs w:val="30"/>
        </w:rPr>
      </w:pPr>
      <w:r>
        <w:rPr>
          <w:rFonts w:hint="eastAsia" w:cs="仿宋_GB2312"/>
          <w:b/>
          <w:bCs/>
          <w:sz w:val="30"/>
          <w:szCs w:val="30"/>
        </w:rPr>
        <w:t>表</w:t>
      </w:r>
      <w:r>
        <w:rPr>
          <w:b/>
          <w:bCs/>
          <w:sz w:val="30"/>
          <w:szCs w:val="30"/>
        </w:rPr>
        <w:t>4  2022</w:t>
      </w:r>
      <w:r>
        <w:rPr>
          <w:rFonts w:hint="eastAsia" w:cs="仿宋_GB2312"/>
          <w:b/>
          <w:bCs/>
          <w:sz w:val="30"/>
          <w:szCs w:val="30"/>
        </w:rPr>
        <w:t>年度水利发展资金项目实施满意度调查情况汇总表</w:t>
      </w:r>
    </w:p>
    <w:tbl>
      <w:tblPr>
        <w:tblStyle w:val="8"/>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4"/>
        <w:gridCol w:w="1800"/>
        <w:gridCol w:w="171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jc w:val="center"/>
        </w:trPr>
        <w:tc>
          <w:tcPr>
            <w:tcW w:w="4054"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分类</w:t>
            </w:r>
          </w:p>
        </w:tc>
        <w:tc>
          <w:tcPr>
            <w:tcW w:w="18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调查问卷数（份）</w:t>
            </w:r>
          </w:p>
        </w:tc>
        <w:tc>
          <w:tcPr>
            <w:tcW w:w="171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平均满意度（分）</w:t>
            </w:r>
          </w:p>
        </w:tc>
        <w:tc>
          <w:tcPr>
            <w:tcW w:w="12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054"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合计</w:t>
            </w:r>
          </w:p>
        </w:tc>
        <w:tc>
          <w:tcPr>
            <w:tcW w:w="18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20</w:t>
            </w:r>
          </w:p>
        </w:tc>
        <w:tc>
          <w:tcPr>
            <w:tcW w:w="171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99</w:t>
            </w:r>
          </w:p>
        </w:tc>
        <w:tc>
          <w:tcPr>
            <w:tcW w:w="12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054" w:type="dxa"/>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sz w:val="21"/>
                <w:szCs w:val="21"/>
              </w:rPr>
              <w:t>2023年曲江区小型水库工程设施维修养护</w:t>
            </w:r>
          </w:p>
        </w:tc>
        <w:tc>
          <w:tcPr>
            <w:tcW w:w="18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171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98</w:t>
            </w:r>
          </w:p>
        </w:tc>
        <w:tc>
          <w:tcPr>
            <w:tcW w:w="12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054" w:type="dxa"/>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sz w:val="21"/>
                <w:szCs w:val="21"/>
              </w:rPr>
              <w:t>2023年曲江区农业水价综合改革</w:t>
            </w:r>
          </w:p>
        </w:tc>
        <w:tc>
          <w:tcPr>
            <w:tcW w:w="180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1710" w:type="dxa"/>
            <w:vAlign w:val="center"/>
          </w:tcPr>
          <w:p>
            <w:pPr>
              <w:spacing w:line="240" w:lineRule="auto"/>
              <w:ind w:firstLine="0" w:firstLineChars="0"/>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1200" w:type="dxa"/>
            <w:vAlign w:val="center"/>
          </w:tcPr>
          <w:p>
            <w:pPr>
              <w:tabs>
                <w:tab w:val="left" w:pos="368"/>
              </w:tabs>
              <w:spacing w:line="240" w:lineRule="auto"/>
              <w:ind w:firstLine="0" w:firstLineChars="0"/>
              <w:jc w:val="left"/>
              <w:rPr>
                <w:rFonts w:hint="eastAsia" w:ascii="仿宋_GB2312" w:hAnsi="仿宋_GB2312" w:eastAsia="仿宋_GB2312" w:cs="仿宋_GB2312"/>
                <w:color w:val="000000"/>
                <w:kern w:val="0"/>
                <w:sz w:val="21"/>
                <w:szCs w:val="21"/>
              </w:rPr>
            </w:pPr>
          </w:p>
        </w:tc>
      </w:tr>
    </w:tbl>
    <w:p>
      <w:pPr>
        <w:spacing w:line="240" w:lineRule="auto"/>
        <w:ind w:firstLine="420" w:firstLineChars="200"/>
        <w:rPr>
          <w:sz w:val="32"/>
          <w:szCs w:val="32"/>
        </w:rPr>
      </w:pPr>
      <w:r>
        <w:rPr>
          <w:rFonts w:hint="eastAsia" w:cs="仿宋_GB2312"/>
          <w:sz w:val="21"/>
          <w:szCs w:val="21"/>
        </w:rPr>
        <w:t>注：表中数据不含脱贫县</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00" w:lineRule="exact"/>
        <w:ind w:firstLine="640" w:firstLineChars="200"/>
        <w:textAlignment w:val="auto"/>
        <w:rPr>
          <w:rFonts w:hint="eastAsia" w:eastAsia="黑体" w:cs="黑体"/>
          <w:sz w:val="32"/>
          <w:szCs w:val="32"/>
          <w:lang w:eastAsia="zh-CN"/>
        </w:rPr>
      </w:pPr>
    </w:p>
    <w:p>
      <w:pPr>
        <w:pStyle w:val="2"/>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eastAsia="黑体"/>
          <w:sz w:val="32"/>
          <w:szCs w:val="32"/>
        </w:rPr>
      </w:pPr>
      <w:r>
        <w:rPr>
          <w:rFonts w:hint="eastAsia" w:eastAsia="黑体" w:cs="黑体"/>
          <w:sz w:val="32"/>
          <w:szCs w:val="32"/>
          <w:lang w:eastAsia="zh-CN"/>
        </w:rPr>
        <w:t>四、</w:t>
      </w:r>
      <w:r>
        <w:rPr>
          <w:rFonts w:hint="eastAsia" w:eastAsia="黑体" w:cs="黑体"/>
          <w:sz w:val="32"/>
          <w:szCs w:val="32"/>
        </w:rPr>
        <w:t>偏离绩效目标原因和下一步改进措施</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sz w:val="32"/>
          <w:szCs w:val="32"/>
        </w:rPr>
      </w:pPr>
      <w:r>
        <w:rPr>
          <w:rFonts w:hint="eastAsia" w:cs="仿宋_GB2312"/>
          <w:sz w:val="32"/>
          <w:szCs w:val="32"/>
        </w:rPr>
        <w:t>无</w:t>
      </w:r>
    </w:p>
    <w:p>
      <w:pPr>
        <w:pStyle w:val="3"/>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b w:val="0"/>
          <w:bCs w:val="0"/>
          <w:sz w:val="32"/>
          <w:szCs w:val="32"/>
        </w:rPr>
      </w:pPr>
      <w:r>
        <w:rPr>
          <w:rFonts w:hint="eastAsia" w:eastAsia="黑体" w:cs="黑体"/>
          <w:b w:val="0"/>
          <w:bCs w:val="0"/>
          <w:sz w:val="32"/>
          <w:szCs w:val="32"/>
        </w:rPr>
        <w:t>五、综合评价结论</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rFonts w:ascii="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w:t>
      </w:r>
      <w:bookmarkStart w:id="10" w:name="BOOK_五我县（市、区"/>
      <w:r>
        <w:rPr>
          <w:rFonts w:hint="eastAsia" w:ascii="仿宋_GB2312" w:hAnsi="仿宋_GB2312" w:cs="仿宋_GB2312"/>
          <w:sz w:val="32"/>
          <w:szCs w:val="32"/>
        </w:rPr>
        <w:t>韶关市曲江区</w:t>
      </w:r>
      <w:bookmarkEnd w:id="10"/>
      <w:r>
        <w:rPr>
          <w:rFonts w:hint="eastAsia" w:ascii="仿宋_GB2312" w:hAnsi="仿宋_GB2312" w:cs="仿宋_GB2312"/>
          <w:sz w:val="32"/>
          <w:szCs w:val="32"/>
        </w:rPr>
        <w:t>绩效自评</w:t>
      </w:r>
      <w:bookmarkStart w:id="11" w:name="BOOK_五自评总分"/>
      <w:r>
        <w:rPr>
          <w:rFonts w:ascii="仿宋_GB2312" w:hAnsi="仿宋_GB2312" w:cs="仿宋_GB2312"/>
          <w:sz w:val="32"/>
          <w:szCs w:val="32"/>
        </w:rPr>
        <w:t>100.00</w:t>
      </w:r>
      <w:bookmarkEnd w:id="11"/>
      <w:r>
        <w:rPr>
          <w:rFonts w:hint="eastAsia" w:ascii="仿宋_GB2312" w:hAnsi="仿宋_GB2312" w:cs="仿宋_GB2312"/>
          <w:sz w:val="32"/>
          <w:szCs w:val="32"/>
        </w:rPr>
        <w:t>分。</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rFonts w:ascii="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年度韶关市曲江区中央水利发展资金实施项目为</w:t>
      </w:r>
      <w:r>
        <w:rPr>
          <w:rFonts w:ascii="仿宋_GB2312" w:hAnsi="仿宋_GB2312" w:cs="仿宋_GB2312"/>
          <w:sz w:val="32"/>
          <w:szCs w:val="32"/>
        </w:rPr>
        <w:t>2</w:t>
      </w:r>
      <w:r>
        <w:rPr>
          <w:rFonts w:hint="eastAsia" w:ascii="仿宋_GB2312" w:hAnsi="仿宋_GB2312" w:cs="仿宋_GB2312"/>
          <w:sz w:val="32"/>
          <w:szCs w:val="32"/>
        </w:rPr>
        <w:t>宗，项目建设和实施均取得了一定成效，基本按照上级部门的要求按时按质完成工程建设任务。</w:t>
      </w:r>
    </w:p>
    <w:p>
      <w:pPr>
        <w:keepLines w:val="0"/>
        <w:pageBreakBefore w:val="0"/>
        <w:widowControl w:val="0"/>
        <w:kinsoku/>
        <w:wordWrap/>
        <w:overflowPunct/>
        <w:topLinePunct w:val="0"/>
        <w:autoSpaceDE/>
        <w:autoSpaceDN/>
        <w:bidi w:val="0"/>
        <w:adjustRightInd/>
        <w:snapToGrid/>
        <w:spacing w:line="600" w:lineRule="exact"/>
        <w:ind w:firstLine="31680"/>
        <w:textAlignment w:val="auto"/>
        <w:rPr>
          <w:rFonts w:ascii="仿宋_GB2312"/>
          <w:sz w:val="32"/>
          <w:szCs w:val="32"/>
        </w:rPr>
      </w:pPr>
      <w:r>
        <w:rPr>
          <w:rFonts w:hint="eastAsia" w:ascii="仿宋_GB2312" w:hAnsi="仿宋_GB2312" w:cs="仿宋_GB2312"/>
          <w:sz w:val="32"/>
          <w:szCs w:val="32"/>
        </w:rPr>
        <w:t>项目资金在使用过程中严格执行预算，加强预算控制，严格按照下达资金执行预算，无随意调整和截留、挪用、改变资金用途；工程建设资金使用遵循专款专用的原则，按规定用于批准的水利基本建设项目，没有挤占和挪用专款；工程资金按规定程序支付，监理部门及项目单位负责人签字，经办人对支付凭证的合法性、手续的完备性和资金金额的真实性审核无误后送区财政局直接支付。</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rFonts w:ascii="仿宋_GB2312"/>
          <w:sz w:val="32"/>
          <w:szCs w:val="32"/>
        </w:rPr>
      </w:pPr>
      <w:r>
        <w:rPr>
          <w:rFonts w:hint="eastAsia" w:ascii="仿宋_GB2312" w:hAnsi="仿宋_GB2312" w:cs="仿宋_GB2312"/>
          <w:sz w:val="32"/>
          <w:szCs w:val="32"/>
        </w:rPr>
        <w:t>从目前工程初步运行情况看，工程质量较好，建后管护规范，工程达到设计标准的要求，深受群众欢迎和拥护达到了预期效果。</w:t>
      </w:r>
    </w:p>
    <w:p>
      <w:pPr>
        <w:pStyle w:val="3"/>
        <w:keepLines w:val="0"/>
        <w:pageBreakBefore w:val="0"/>
        <w:widowControl w:val="0"/>
        <w:kinsoku/>
        <w:wordWrap/>
        <w:overflowPunct/>
        <w:topLinePunct w:val="0"/>
        <w:autoSpaceDE/>
        <w:autoSpaceDN/>
        <w:bidi w:val="0"/>
        <w:adjustRightInd/>
        <w:snapToGrid/>
        <w:spacing w:line="600" w:lineRule="exact"/>
        <w:ind w:firstLine="31680"/>
        <w:textAlignment w:val="auto"/>
        <w:rPr>
          <w:rFonts w:eastAsia="黑体"/>
          <w:b w:val="0"/>
          <w:bCs w:val="0"/>
          <w:sz w:val="32"/>
          <w:szCs w:val="32"/>
        </w:rPr>
      </w:pPr>
      <w:r>
        <w:rPr>
          <w:rFonts w:hint="eastAsia" w:eastAsia="黑体" w:cs="黑体"/>
          <w:b w:val="0"/>
          <w:bCs w:val="0"/>
          <w:sz w:val="32"/>
          <w:szCs w:val="32"/>
        </w:rPr>
        <w:t>六、绩效评价结果拟应用和公开情况</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rFonts w:ascii="仿宋_GB2312"/>
          <w:sz w:val="32"/>
          <w:szCs w:val="32"/>
        </w:rPr>
      </w:pPr>
      <w:r>
        <w:rPr>
          <w:rFonts w:hint="eastAsia" w:ascii="仿宋_GB2312" w:cs="仿宋_GB2312"/>
          <w:sz w:val="32"/>
          <w:szCs w:val="32"/>
        </w:rPr>
        <w:t>绩效评价结果拟应用：结合评价结果，对被评价项目绩效情况、完成的程度和存在问题与建议加以综合分析，强化评价结果的应用，一是优秀且绩效突出的，在安排后续资金时给予充分保障；二是良好和合格的，在项目单位对存在的问题整改后，按正常从紧原则，编制预算，安排下一年度财政资金；三是不合格的，对于实施过程评价的项目，要即使提出整改意见，未按要求整改的，要向同级政府提出暂停该项目。</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rFonts w:hint="eastAsia" w:ascii="仿宋_GB2312" w:eastAsia="仿宋_GB2312"/>
          <w:sz w:val="32"/>
          <w:szCs w:val="32"/>
          <w:lang w:eastAsia="zh-CN"/>
        </w:rPr>
      </w:pPr>
      <w:r>
        <w:rPr>
          <w:rFonts w:hint="eastAsia" w:ascii="仿宋_GB2312" w:cs="仿宋_GB2312"/>
          <w:sz w:val="32"/>
          <w:szCs w:val="32"/>
        </w:rPr>
        <w:t>按照《广东省水利厅</w:t>
      </w:r>
      <w:r>
        <w:rPr>
          <w:rFonts w:ascii="仿宋_GB2312"/>
          <w:sz w:val="32"/>
          <w:szCs w:val="32"/>
        </w:rPr>
        <w:t> </w:t>
      </w:r>
      <w:r>
        <w:rPr>
          <w:rFonts w:hint="eastAsia" w:ascii="仿宋_GB2312" w:cs="仿宋_GB2312"/>
          <w:sz w:val="32"/>
          <w:szCs w:val="32"/>
        </w:rPr>
        <w:t>广东省财政厅关于开展</w:t>
      </w:r>
      <w:r>
        <w:rPr>
          <w:rFonts w:ascii="仿宋_GB2312" w:cs="仿宋_GB2312"/>
          <w:sz w:val="32"/>
          <w:szCs w:val="32"/>
        </w:rPr>
        <w:t>2022</w:t>
      </w:r>
      <w:r>
        <w:rPr>
          <w:rFonts w:hint="eastAsia" w:ascii="仿宋_GB2312" w:cs="仿宋_GB2312"/>
          <w:sz w:val="32"/>
          <w:szCs w:val="32"/>
        </w:rPr>
        <w:t>年度水利发展资金绩效评价工作的通知》（粤水财务〔</w:t>
      </w:r>
      <w:r>
        <w:rPr>
          <w:rFonts w:ascii="仿宋_GB2312" w:cs="仿宋_GB2312"/>
          <w:sz w:val="32"/>
          <w:szCs w:val="32"/>
        </w:rPr>
        <w:t>2023</w:t>
      </w:r>
      <w:r>
        <w:rPr>
          <w:rFonts w:hint="eastAsia" w:ascii="仿宋_GB2312" w:cs="仿宋_GB2312"/>
          <w:sz w:val="32"/>
          <w:szCs w:val="32"/>
        </w:rPr>
        <w:t>〕</w:t>
      </w:r>
      <w:r>
        <w:rPr>
          <w:rFonts w:ascii="仿宋_GB2312" w:cs="仿宋_GB2312"/>
          <w:sz w:val="32"/>
          <w:szCs w:val="32"/>
        </w:rPr>
        <w:t>10</w:t>
      </w:r>
      <w:r>
        <w:rPr>
          <w:rFonts w:hint="eastAsia" w:ascii="仿宋_GB2312" w:cs="仿宋_GB2312"/>
          <w:sz w:val="32"/>
          <w:szCs w:val="32"/>
        </w:rPr>
        <w:t>号）要求，将绩效结果向同级人大报告、向社会公开（涉密项目除外）</w:t>
      </w:r>
      <w:r>
        <w:rPr>
          <w:rFonts w:hint="eastAsia" w:ascii="仿宋_GB2312" w:cs="仿宋_GB2312"/>
          <w:sz w:val="32"/>
          <w:szCs w:val="32"/>
          <w:lang w:eastAsia="zh-CN"/>
        </w:rPr>
        <w:t>。</w:t>
      </w:r>
    </w:p>
    <w:p>
      <w:pPr>
        <w:pStyle w:val="17"/>
        <w:keepLines w:val="0"/>
        <w:pageBreakBefore w:val="0"/>
        <w:widowControl w:val="0"/>
        <w:kinsoku/>
        <w:wordWrap/>
        <w:overflowPunct/>
        <w:topLinePunct w:val="0"/>
        <w:autoSpaceDE/>
        <w:autoSpaceDN/>
        <w:bidi w:val="0"/>
        <w:adjustRightInd/>
        <w:snapToGrid/>
        <w:spacing w:line="600" w:lineRule="exact"/>
        <w:ind w:firstLine="31680"/>
        <w:textAlignment w:val="auto"/>
        <w:rPr>
          <w:rFonts w:eastAsia="黑体"/>
          <w:b w:val="0"/>
          <w:bCs w:val="0"/>
          <w:sz w:val="32"/>
          <w:szCs w:val="32"/>
        </w:rPr>
      </w:pPr>
      <w:r>
        <w:rPr>
          <w:rFonts w:hint="eastAsia" w:eastAsia="黑体" w:cs="黑体"/>
          <w:b w:val="0"/>
          <w:bCs w:val="0"/>
          <w:sz w:val="32"/>
          <w:szCs w:val="32"/>
        </w:rPr>
        <w:t>七、其他需说明的问题</w:t>
      </w:r>
    </w:p>
    <w:p>
      <w:pPr>
        <w:pStyle w:val="2"/>
        <w:keepLines w:val="0"/>
        <w:pageBreakBefore w:val="0"/>
        <w:widowControl w:val="0"/>
        <w:kinsoku/>
        <w:wordWrap/>
        <w:overflowPunct/>
        <w:topLinePunct w:val="0"/>
        <w:autoSpaceDE/>
        <w:autoSpaceDN/>
        <w:bidi w:val="0"/>
        <w:adjustRightInd/>
        <w:snapToGrid/>
        <w:spacing w:after="0" w:line="600" w:lineRule="exact"/>
        <w:ind w:firstLine="31680"/>
        <w:textAlignment w:val="auto"/>
        <w:rPr>
          <w:sz w:val="32"/>
          <w:szCs w:val="32"/>
        </w:rPr>
      </w:pPr>
      <w:r>
        <w:rPr>
          <w:rFonts w:hint="eastAsia" w:cs="仿宋_GB2312"/>
          <w:sz w:val="32"/>
          <w:szCs w:val="32"/>
        </w:rPr>
        <w:t>无</w:t>
      </w:r>
    </w:p>
    <w:p>
      <w:pPr>
        <w:keepLines w:val="0"/>
        <w:pageBreakBefore w:val="0"/>
        <w:widowControl w:val="0"/>
        <w:kinsoku/>
        <w:wordWrap/>
        <w:overflowPunct/>
        <w:topLinePunct w:val="0"/>
        <w:autoSpaceDE/>
        <w:autoSpaceDN/>
        <w:bidi w:val="0"/>
        <w:adjustRightInd/>
        <w:snapToGrid/>
        <w:spacing w:line="600" w:lineRule="exact"/>
        <w:ind w:firstLine="31680"/>
        <w:textAlignment w:val="auto"/>
        <w:rPr>
          <w:rFonts w:hint="eastAsia" w:cs="仿宋_GB2312"/>
          <w:sz w:val="32"/>
          <w:szCs w:val="32"/>
        </w:rPr>
      </w:pPr>
      <w:bookmarkStart w:id="12" w:name="_GoBack"/>
      <w:bookmarkEnd w:id="12"/>
    </w:p>
    <w:sectPr>
      <w:headerReference r:id="rId5" w:type="default"/>
      <w:footerReference r:id="rId6" w:type="default"/>
      <w:pgSz w:w="11906" w:h="16838"/>
      <w:pgMar w:top="1701" w:right="1474" w:bottom="1417"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outside" w:y="1"/>
      <w:ind w:firstLine="31680"/>
      <w:rPr>
        <w:rStyle w:val="10"/>
      </w:rPr>
    </w:pPr>
  </w:p>
  <w:p>
    <w:pPr>
      <w:pStyle w:val="21"/>
      <w:ind w:right="360" w:firstLine="360" w:firstLineChars="0"/>
      <w:jc w:val="center"/>
      <w:rPr>
        <w:sz w:val="20"/>
        <w:szCs w:val="20"/>
      </w:rPr>
    </w:pPr>
  </w:p>
  <w:p>
    <w:pPr>
      <w:pStyle w:val="21"/>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ind w:firstLine="316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lYjk1YmM2MzU4N2QzNzEyZmIzZGZmM2FjYjcwOTAifQ=="/>
  </w:docVars>
  <w:rsids>
    <w:rsidRoot w:val="492F62C0"/>
    <w:rsid w:val="00056BCA"/>
    <w:rsid w:val="001A712C"/>
    <w:rsid w:val="00427DB4"/>
    <w:rsid w:val="004B60BA"/>
    <w:rsid w:val="00601984"/>
    <w:rsid w:val="006A5F2D"/>
    <w:rsid w:val="006F3E06"/>
    <w:rsid w:val="00737F38"/>
    <w:rsid w:val="007A0944"/>
    <w:rsid w:val="008878D1"/>
    <w:rsid w:val="008A1E86"/>
    <w:rsid w:val="0097409A"/>
    <w:rsid w:val="0099480C"/>
    <w:rsid w:val="00B737CF"/>
    <w:rsid w:val="00BA551A"/>
    <w:rsid w:val="00C16EA7"/>
    <w:rsid w:val="00CE687C"/>
    <w:rsid w:val="00D10E83"/>
    <w:rsid w:val="00E00DC6"/>
    <w:rsid w:val="00F80DC5"/>
    <w:rsid w:val="01904775"/>
    <w:rsid w:val="022573A2"/>
    <w:rsid w:val="024E4B4B"/>
    <w:rsid w:val="034F6715"/>
    <w:rsid w:val="039B4076"/>
    <w:rsid w:val="04155926"/>
    <w:rsid w:val="04C9670A"/>
    <w:rsid w:val="053022E6"/>
    <w:rsid w:val="05AE59FC"/>
    <w:rsid w:val="05DD6BAF"/>
    <w:rsid w:val="072739A0"/>
    <w:rsid w:val="074E0EE3"/>
    <w:rsid w:val="07AC659B"/>
    <w:rsid w:val="08070BB6"/>
    <w:rsid w:val="08B60D54"/>
    <w:rsid w:val="091E5277"/>
    <w:rsid w:val="09F61D50"/>
    <w:rsid w:val="0A8C4462"/>
    <w:rsid w:val="0AA376FF"/>
    <w:rsid w:val="0AAE6186"/>
    <w:rsid w:val="0B293A5F"/>
    <w:rsid w:val="0BB377CC"/>
    <w:rsid w:val="0C321039"/>
    <w:rsid w:val="0C4B4C3A"/>
    <w:rsid w:val="0DA865D8"/>
    <w:rsid w:val="0DB17A04"/>
    <w:rsid w:val="0DE14AC5"/>
    <w:rsid w:val="0DE725FD"/>
    <w:rsid w:val="0ED61D65"/>
    <w:rsid w:val="131B16E4"/>
    <w:rsid w:val="16184950"/>
    <w:rsid w:val="161A0A0A"/>
    <w:rsid w:val="16445BF1"/>
    <w:rsid w:val="16774218"/>
    <w:rsid w:val="18B32A58"/>
    <w:rsid w:val="19A37E6C"/>
    <w:rsid w:val="19FF69FF"/>
    <w:rsid w:val="1A4A39F2"/>
    <w:rsid w:val="1A4B6068"/>
    <w:rsid w:val="1C07688A"/>
    <w:rsid w:val="1C306492"/>
    <w:rsid w:val="1D281CEA"/>
    <w:rsid w:val="1D412DAC"/>
    <w:rsid w:val="1E4E20A0"/>
    <w:rsid w:val="1F282554"/>
    <w:rsid w:val="2051027A"/>
    <w:rsid w:val="20A26336"/>
    <w:rsid w:val="20E32162"/>
    <w:rsid w:val="21425371"/>
    <w:rsid w:val="226D64CF"/>
    <w:rsid w:val="22715F0F"/>
    <w:rsid w:val="230A20F7"/>
    <w:rsid w:val="232A616E"/>
    <w:rsid w:val="25333A00"/>
    <w:rsid w:val="25F56F08"/>
    <w:rsid w:val="25FD5DBC"/>
    <w:rsid w:val="298011DE"/>
    <w:rsid w:val="2AAA4765"/>
    <w:rsid w:val="2BF46779"/>
    <w:rsid w:val="2C1856FE"/>
    <w:rsid w:val="2C5129BE"/>
    <w:rsid w:val="2C6E0973"/>
    <w:rsid w:val="2CB61A5F"/>
    <w:rsid w:val="2D2732B6"/>
    <w:rsid w:val="2D7C1CBC"/>
    <w:rsid w:val="2D856A4E"/>
    <w:rsid w:val="2E310CF9"/>
    <w:rsid w:val="2E674073"/>
    <w:rsid w:val="2E7D7A9A"/>
    <w:rsid w:val="2F043E2F"/>
    <w:rsid w:val="30237F9A"/>
    <w:rsid w:val="30342814"/>
    <w:rsid w:val="30A6777C"/>
    <w:rsid w:val="31534978"/>
    <w:rsid w:val="32FC7B27"/>
    <w:rsid w:val="334932FF"/>
    <w:rsid w:val="34F27CD1"/>
    <w:rsid w:val="36044CAC"/>
    <w:rsid w:val="37356214"/>
    <w:rsid w:val="382D0783"/>
    <w:rsid w:val="38346073"/>
    <w:rsid w:val="394413FB"/>
    <w:rsid w:val="395A55A8"/>
    <w:rsid w:val="3995038E"/>
    <w:rsid w:val="39996A62"/>
    <w:rsid w:val="3A9934B1"/>
    <w:rsid w:val="3AE7497A"/>
    <w:rsid w:val="3B945823"/>
    <w:rsid w:val="3C2970C0"/>
    <w:rsid w:val="3D485717"/>
    <w:rsid w:val="3ED100BA"/>
    <w:rsid w:val="3EEF0540"/>
    <w:rsid w:val="3F676329"/>
    <w:rsid w:val="4074099E"/>
    <w:rsid w:val="40AB493B"/>
    <w:rsid w:val="414F73B2"/>
    <w:rsid w:val="422C1AAB"/>
    <w:rsid w:val="43374264"/>
    <w:rsid w:val="44540C9E"/>
    <w:rsid w:val="45132AAF"/>
    <w:rsid w:val="456E2CE2"/>
    <w:rsid w:val="45753C66"/>
    <w:rsid w:val="45F75F2C"/>
    <w:rsid w:val="46503FBA"/>
    <w:rsid w:val="46582E6F"/>
    <w:rsid w:val="46C35CDF"/>
    <w:rsid w:val="47322638"/>
    <w:rsid w:val="488E50F8"/>
    <w:rsid w:val="48902035"/>
    <w:rsid w:val="489601A3"/>
    <w:rsid w:val="49221512"/>
    <w:rsid w:val="492F62C0"/>
    <w:rsid w:val="497F0713"/>
    <w:rsid w:val="499C7517"/>
    <w:rsid w:val="49AB04EC"/>
    <w:rsid w:val="4A433934"/>
    <w:rsid w:val="4AB8125D"/>
    <w:rsid w:val="4B9C37FE"/>
    <w:rsid w:val="4BA601D9"/>
    <w:rsid w:val="4BC44B03"/>
    <w:rsid w:val="4C001FDF"/>
    <w:rsid w:val="4C304B8D"/>
    <w:rsid w:val="4CAF130F"/>
    <w:rsid w:val="4CBE1552"/>
    <w:rsid w:val="4D50664E"/>
    <w:rsid w:val="4E571C5E"/>
    <w:rsid w:val="4EFF657E"/>
    <w:rsid w:val="4F6F53FF"/>
    <w:rsid w:val="50036960"/>
    <w:rsid w:val="50747F96"/>
    <w:rsid w:val="52D47D21"/>
    <w:rsid w:val="52E86357"/>
    <w:rsid w:val="53876B42"/>
    <w:rsid w:val="53F654B5"/>
    <w:rsid w:val="53F76CFA"/>
    <w:rsid w:val="540D6216"/>
    <w:rsid w:val="54CB6F02"/>
    <w:rsid w:val="54F975CB"/>
    <w:rsid w:val="55102B67"/>
    <w:rsid w:val="555F665A"/>
    <w:rsid w:val="55E96D02"/>
    <w:rsid w:val="56002BDB"/>
    <w:rsid w:val="57017A5A"/>
    <w:rsid w:val="58C6105E"/>
    <w:rsid w:val="58DF4D2A"/>
    <w:rsid w:val="5AE14D89"/>
    <w:rsid w:val="5AF01470"/>
    <w:rsid w:val="5BED3C02"/>
    <w:rsid w:val="5CFD1BAE"/>
    <w:rsid w:val="5D1B682E"/>
    <w:rsid w:val="5D3E2967"/>
    <w:rsid w:val="5DCD1885"/>
    <w:rsid w:val="5EB37902"/>
    <w:rsid w:val="614A4959"/>
    <w:rsid w:val="61BC3E5A"/>
    <w:rsid w:val="61F71336"/>
    <w:rsid w:val="62CB1834"/>
    <w:rsid w:val="62EA2C49"/>
    <w:rsid w:val="64BE4791"/>
    <w:rsid w:val="651915C4"/>
    <w:rsid w:val="66576847"/>
    <w:rsid w:val="66D024FC"/>
    <w:rsid w:val="66D82C15"/>
    <w:rsid w:val="677E34D8"/>
    <w:rsid w:val="687A05CB"/>
    <w:rsid w:val="69807E63"/>
    <w:rsid w:val="6A1D7350"/>
    <w:rsid w:val="6B246D54"/>
    <w:rsid w:val="6B400C03"/>
    <w:rsid w:val="6B6D678F"/>
    <w:rsid w:val="6C094140"/>
    <w:rsid w:val="6F48197F"/>
    <w:rsid w:val="70096E04"/>
    <w:rsid w:val="70532ECF"/>
    <w:rsid w:val="70F133F4"/>
    <w:rsid w:val="710B095A"/>
    <w:rsid w:val="718633AD"/>
    <w:rsid w:val="729B7ABC"/>
    <w:rsid w:val="72AC1CC9"/>
    <w:rsid w:val="730B2E93"/>
    <w:rsid w:val="73CD1EF7"/>
    <w:rsid w:val="746C5BB4"/>
    <w:rsid w:val="74714F78"/>
    <w:rsid w:val="749B0247"/>
    <w:rsid w:val="74F7255A"/>
    <w:rsid w:val="752C20C8"/>
    <w:rsid w:val="75D752AF"/>
    <w:rsid w:val="76F01037"/>
    <w:rsid w:val="777C6115"/>
    <w:rsid w:val="78BB13F2"/>
    <w:rsid w:val="79BD656A"/>
    <w:rsid w:val="7A780BBE"/>
    <w:rsid w:val="7A826449"/>
    <w:rsid w:val="7B156DD5"/>
    <w:rsid w:val="7C372603"/>
    <w:rsid w:val="7C914409"/>
    <w:rsid w:val="7CAF4890"/>
    <w:rsid w:val="7CC208E5"/>
    <w:rsid w:val="7CE12DB5"/>
    <w:rsid w:val="7D9F4904"/>
    <w:rsid w:val="7DF82266"/>
    <w:rsid w:val="7E0D5D12"/>
    <w:rsid w:val="7E2612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99" w:semiHidden="0" w:name="Body Text First Indent"/>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Times New Roman" w:hAnsi="Times New Roman" w:eastAsia="仿宋_GB2312" w:cs="Times New Roman"/>
      <w:kern w:val="2"/>
      <w:sz w:val="28"/>
      <w:szCs w:val="28"/>
      <w:lang w:val="en-US" w:eastAsia="zh-CN" w:bidi="ar-SA"/>
    </w:rPr>
  </w:style>
  <w:style w:type="paragraph" w:styleId="3">
    <w:name w:val="heading 1"/>
    <w:basedOn w:val="1"/>
    <w:next w:val="1"/>
    <w:link w:val="11"/>
    <w:qFormat/>
    <w:uiPriority w:val="99"/>
    <w:pPr>
      <w:keepNext/>
      <w:keepLines/>
      <w:outlineLvl w:val="0"/>
    </w:pPr>
    <w:rPr>
      <w:b/>
      <w:bCs/>
      <w:kern w:val="44"/>
    </w:rPr>
  </w:style>
  <w:style w:type="paragraph" w:styleId="4">
    <w:name w:val="heading 2"/>
    <w:basedOn w:val="1"/>
    <w:next w:val="1"/>
    <w:link w:val="12"/>
    <w:qFormat/>
    <w:uiPriority w:val="99"/>
    <w:pPr>
      <w:keepNext/>
      <w:keepLines/>
      <w:outlineLvl w:val="1"/>
    </w:p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qFormat/>
    <w:uiPriority w:val="99"/>
    <w:pPr>
      <w:spacing w:after="120"/>
    </w:pPr>
  </w:style>
  <w:style w:type="paragraph" w:styleId="5">
    <w:name w:val="footer"/>
    <w:basedOn w:val="1"/>
    <w:link w:val="14"/>
    <w:uiPriority w:val="99"/>
    <w:pPr>
      <w:tabs>
        <w:tab w:val="center" w:pos="4153"/>
        <w:tab w:val="right" w:pos="8306"/>
      </w:tabs>
      <w:snapToGrid w:val="0"/>
      <w:spacing w:line="240" w:lineRule="auto"/>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2"/>
    <w:link w:val="16"/>
    <w:qFormat/>
    <w:uiPriority w:val="99"/>
    <w:pPr>
      <w:spacing w:line="240" w:lineRule="auto"/>
      <w:ind w:firstLine="420" w:firstLineChars="100"/>
    </w:pPr>
    <w:rPr>
      <w:rFonts w:ascii="Tahoma" w:hAnsi="Tahoma" w:cs="Tahoma"/>
      <w:b/>
      <w:bCs/>
      <w:sz w:val="21"/>
      <w:szCs w:val="21"/>
    </w:rPr>
  </w:style>
  <w:style w:type="character" w:styleId="10">
    <w:name w:val="page number"/>
    <w:basedOn w:val="9"/>
    <w:qFormat/>
    <w:uiPriority w:val="99"/>
  </w:style>
  <w:style w:type="character" w:customStyle="1" w:styleId="11">
    <w:name w:val="Heading 1 Char"/>
    <w:basedOn w:val="9"/>
    <w:link w:val="3"/>
    <w:qFormat/>
    <w:locked/>
    <w:uiPriority w:val="99"/>
    <w:rPr>
      <w:rFonts w:eastAsia="仿宋_GB2312"/>
      <w:b/>
      <w:bCs/>
      <w:kern w:val="44"/>
      <w:sz w:val="44"/>
      <w:szCs w:val="44"/>
    </w:rPr>
  </w:style>
  <w:style w:type="character" w:customStyle="1" w:styleId="12">
    <w:name w:val="Heading 2 Char"/>
    <w:basedOn w:val="9"/>
    <w:link w:val="4"/>
    <w:semiHidden/>
    <w:qFormat/>
    <w:locked/>
    <w:uiPriority w:val="99"/>
    <w:rPr>
      <w:rFonts w:ascii="Cambria" w:hAnsi="Cambria" w:eastAsia="宋体" w:cs="Cambria"/>
      <w:b/>
      <w:bCs/>
      <w:sz w:val="32"/>
      <w:szCs w:val="32"/>
    </w:rPr>
  </w:style>
  <w:style w:type="character" w:customStyle="1" w:styleId="13">
    <w:name w:val="Body Text Char"/>
    <w:basedOn w:val="9"/>
    <w:link w:val="2"/>
    <w:semiHidden/>
    <w:locked/>
    <w:uiPriority w:val="99"/>
    <w:rPr>
      <w:rFonts w:eastAsia="仿宋_GB2312"/>
      <w:sz w:val="28"/>
      <w:szCs w:val="28"/>
    </w:rPr>
  </w:style>
  <w:style w:type="character" w:customStyle="1" w:styleId="14">
    <w:name w:val="Footer Char"/>
    <w:basedOn w:val="9"/>
    <w:link w:val="5"/>
    <w:semiHidden/>
    <w:qFormat/>
    <w:locked/>
    <w:uiPriority w:val="99"/>
    <w:rPr>
      <w:rFonts w:eastAsia="仿宋_GB2312"/>
      <w:sz w:val="18"/>
      <w:szCs w:val="18"/>
    </w:rPr>
  </w:style>
  <w:style w:type="character" w:customStyle="1" w:styleId="15">
    <w:name w:val="Header Char"/>
    <w:basedOn w:val="9"/>
    <w:link w:val="6"/>
    <w:semiHidden/>
    <w:qFormat/>
    <w:locked/>
    <w:uiPriority w:val="99"/>
    <w:rPr>
      <w:rFonts w:eastAsia="仿宋_GB2312"/>
      <w:sz w:val="18"/>
      <w:szCs w:val="18"/>
    </w:rPr>
  </w:style>
  <w:style w:type="character" w:customStyle="1" w:styleId="16">
    <w:name w:val="Body Text First Indent Char"/>
    <w:basedOn w:val="13"/>
    <w:link w:val="7"/>
    <w:semiHidden/>
    <w:qFormat/>
    <w:locked/>
    <w:uiPriority w:val="99"/>
  </w:style>
  <w:style w:type="paragraph" w:customStyle="1" w:styleId="17">
    <w:name w:val="Heading 11"/>
    <w:basedOn w:val="1"/>
    <w:next w:val="1"/>
    <w:qFormat/>
    <w:uiPriority w:val="99"/>
    <w:pPr>
      <w:keepNext/>
      <w:keepLines/>
      <w:outlineLvl w:val="0"/>
    </w:pPr>
    <w:rPr>
      <w:b/>
      <w:bCs/>
      <w:kern w:val="44"/>
    </w:rPr>
  </w:style>
  <w:style w:type="paragraph" w:customStyle="1" w:styleId="18">
    <w:name w:val="Heading 21"/>
    <w:basedOn w:val="1"/>
    <w:next w:val="1"/>
    <w:qFormat/>
    <w:uiPriority w:val="99"/>
    <w:pPr>
      <w:keepNext/>
      <w:keepLines/>
      <w:outlineLvl w:val="1"/>
    </w:pPr>
  </w:style>
  <w:style w:type="paragraph" w:customStyle="1" w:styleId="19">
    <w:name w:val="Default"/>
    <w:uiPriority w:val="99"/>
    <w:pPr>
      <w:widowControl w:val="0"/>
      <w:autoSpaceDE w:val="0"/>
      <w:autoSpaceDN w:val="0"/>
      <w:adjustRightInd w:val="0"/>
      <w:spacing w:after="200" w:line="276" w:lineRule="auto"/>
    </w:pPr>
    <w:rPr>
      <w:rFonts w:ascii="方正小标宋简体" w:hAnsi="方正小标宋简体" w:eastAsia="方正小标宋简体" w:cs="方正小标宋简体"/>
      <w:color w:val="000000"/>
      <w:kern w:val="0"/>
      <w:sz w:val="24"/>
      <w:szCs w:val="24"/>
      <w:lang w:val="en-US" w:eastAsia="zh-CN" w:bidi="ar-SA"/>
    </w:rPr>
  </w:style>
  <w:style w:type="paragraph" w:customStyle="1" w:styleId="20">
    <w:name w:val="Header1"/>
    <w:basedOn w:val="1"/>
    <w:uiPriority w:val="99"/>
    <w:pPr>
      <w:pBdr>
        <w:bottom w:val="single" w:color="auto" w:sz="6" w:space="1"/>
      </w:pBdr>
      <w:tabs>
        <w:tab w:val="center" w:pos="4153"/>
        <w:tab w:val="right" w:pos="8306"/>
      </w:tabs>
      <w:snapToGrid w:val="0"/>
      <w:jc w:val="center"/>
    </w:pPr>
    <w:rPr>
      <w:sz w:val="18"/>
      <w:szCs w:val="18"/>
    </w:rPr>
  </w:style>
  <w:style w:type="paragraph" w:customStyle="1" w:styleId="21">
    <w:name w:val="Footer1"/>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P R C</Company>
  <Pages>15</Pages>
  <Words>1040</Words>
  <Characters>5932</Characters>
  <Lines>0</Lines>
  <Paragraphs>0</Paragraphs>
  <TotalTime>89</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2024-06-18T02:12:00Z</dcterms:created>
  <dc:creator>不渝_。</dc:creator>
  <cp:lastModifiedBy>Administrator</cp:lastModifiedBy>
  <cp:lastPrinted>2024-06-17T07:59:00Z</cp:lastPrinted>
  <dcterms:modified xsi:type="dcterms:W3CDTF">2024-06-19T00:51:26Z</dcterms:modified>
  <dc:title>韶关市曲江区2023年度水利发展资金绩效自评报告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516FA78D282B4582A9ED5203298ED0F3_11</vt:lpwstr>
  </property>
</Properties>
</file>