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E43EF">
      <w:pPr>
        <w:rPr>
          <w:rFonts w:ascii="仿宋_GB2312" w:hAnsi="黑体"/>
          <w:bCs/>
          <w:sz w:val="28"/>
          <w:szCs w:val="28"/>
        </w:rPr>
      </w:pPr>
      <w:r>
        <w:rPr>
          <w:rFonts w:hint="eastAsia" w:ascii="仿宋_GB2312" w:hAnsi="黑体"/>
          <w:bCs/>
          <w:sz w:val="28"/>
          <w:szCs w:val="28"/>
        </w:rPr>
        <w:t>附件</w:t>
      </w:r>
      <w:r>
        <w:rPr>
          <w:rFonts w:hint="eastAsia" w:ascii="仿宋_GB2312" w:hAnsi="黑体"/>
          <w:bCs/>
          <w:sz w:val="28"/>
          <w:szCs w:val="28"/>
          <w:lang w:val="en-US" w:eastAsia="zh-CN"/>
        </w:rPr>
        <w:t>3</w:t>
      </w:r>
    </w:p>
    <w:p w14:paraId="71D17B89">
      <w:pPr>
        <w:jc w:val="center"/>
        <w:rPr>
          <w:rFonts w:ascii="仿宋_GB2312" w:hAnsi="华文中宋"/>
          <w:bCs/>
          <w:sz w:val="36"/>
          <w:szCs w:val="44"/>
        </w:rPr>
      </w:pPr>
    </w:p>
    <w:p w14:paraId="1B743978">
      <w:pPr>
        <w:jc w:val="center"/>
        <w:rPr>
          <w:rFonts w:ascii="宋体" w:hAnsi="宋体" w:eastAsia="宋体" w:cs="宋体"/>
          <w:b/>
          <w:w w:val="95"/>
          <w:sz w:val="36"/>
          <w:szCs w:val="44"/>
        </w:rPr>
      </w:pPr>
      <w:r>
        <w:rPr>
          <w:rFonts w:hint="eastAsia" w:ascii="Arial" w:hAnsi="Arial" w:eastAsia="宋体" w:cs="Arial"/>
          <w:b/>
          <w:w w:val="95"/>
          <w:sz w:val="36"/>
          <w:szCs w:val="44"/>
          <w:lang w:val="en-US" w:eastAsia="zh-CN"/>
        </w:rPr>
        <w:t>韶关市（韶关市曲江区小坑水库输水隧洞消力池水毁修复工程）中央水利救灾资金</w:t>
      </w:r>
      <w:r>
        <w:rPr>
          <w:rFonts w:hint="eastAsia" w:ascii="宋体" w:hAnsi="宋体" w:eastAsia="宋体" w:cs="宋体"/>
          <w:b/>
          <w:w w:val="95"/>
          <w:sz w:val="36"/>
          <w:szCs w:val="44"/>
        </w:rPr>
        <w:t>转移支付</w:t>
      </w:r>
      <w:r>
        <w:rPr>
          <w:rFonts w:hint="eastAsia" w:ascii="Arial" w:hAnsi="Arial" w:eastAsia="宋体" w:cs="Arial"/>
          <w:b/>
          <w:w w:val="95"/>
          <w:sz w:val="36"/>
          <w:szCs w:val="44"/>
        </w:rPr>
        <w:t>20</w:t>
      </w:r>
      <w:r>
        <w:rPr>
          <w:rFonts w:hint="eastAsia" w:ascii="Arial" w:hAnsi="Arial" w:eastAsia="宋体" w:cs="Arial"/>
          <w:b/>
          <w:w w:val="95"/>
          <w:sz w:val="36"/>
          <w:szCs w:val="44"/>
          <w:lang w:val="en-US" w:eastAsia="zh-CN"/>
        </w:rPr>
        <w:t>23</w:t>
      </w:r>
      <w:r>
        <w:rPr>
          <w:rFonts w:hint="eastAsia" w:ascii="宋体" w:hAnsi="宋体" w:eastAsia="宋体" w:cs="宋体"/>
          <w:b/>
          <w:w w:val="95"/>
          <w:sz w:val="36"/>
          <w:szCs w:val="44"/>
        </w:rPr>
        <w:t>年度绩效自评报告</w:t>
      </w:r>
    </w:p>
    <w:p w14:paraId="5B015C86">
      <w:pPr>
        <w:ind w:firstLine="600" w:firstLineChars="200"/>
        <w:rPr>
          <w:rFonts w:ascii="黑体" w:hAnsi="黑体" w:eastAsia="黑体" w:cs="黑体"/>
          <w:bCs/>
          <w:szCs w:val="32"/>
        </w:rPr>
      </w:pPr>
      <w:r>
        <w:rPr>
          <w:rFonts w:hint="eastAsia" w:ascii="黑体" w:hAnsi="黑体" w:eastAsia="黑体" w:cs="黑体"/>
          <w:bCs/>
          <w:szCs w:val="32"/>
        </w:rPr>
        <w:t>一、绩效目标分解下达情况</w:t>
      </w:r>
    </w:p>
    <w:p w14:paraId="40A449E1">
      <w:pPr>
        <w:ind w:firstLine="600" w:firstLineChars="200"/>
        <w:outlineLvl w:val="0"/>
        <w:rPr>
          <w:rFonts w:hint="eastAsia" w:ascii="仿宋_GB2312"/>
          <w:szCs w:val="32"/>
          <w:lang w:eastAsia="zh-CN"/>
        </w:rPr>
      </w:pPr>
      <w:r>
        <w:rPr>
          <w:rFonts w:hint="eastAsia" w:ascii="仿宋_GB2312"/>
          <w:szCs w:val="32"/>
        </w:rPr>
        <w:t>2023年7月5日区财政局</w:t>
      </w:r>
      <w:r>
        <w:rPr>
          <w:rFonts w:hint="eastAsia" w:ascii="仿宋_GB2312"/>
          <w:szCs w:val="32"/>
          <w:lang w:eastAsia="zh-CN"/>
        </w:rPr>
        <w:t>《</w:t>
      </w:r>
      <w:r>
        <w:rPr>
          <w:rFonts w:hint="eastAsia" w:ascii="仿宋_GB2312"/>
          <w:szCs w:val="32"/>
        </w:rPr>
        <w:t>关于下达2023年中央农业防灾减灾和水利救灾资金预算</w:t>
      </w:r>
      <w:r>
        <w:rPr>
          <w:rFonts w:hint="eastAsia" w:ascii="仿宋_GB2312"/>
          <w:szCs w:val="32"/>
          <w:lang w:eastAsia="zh-CN"/>
        </w:rPr>
        <w:t>（</w:t>
      </w:r>
      <w:r>
        <w:rPr>
          <w:rFonts w:hint="eastAsia" w:ascii="仿宋_GB2312"/>
          <w:szCs w:val="32"/>
        </w:rPr>
        <w:t>防灾救灾第二批</w:t>
      </w:r>
      <w:r>
        <w:rPr>
          <w:rFonts w:hint="eastAsia" w:ascii="仿宋_GB2312"/>
          <w:szCs w:val="32"/>
          <w:lang w:eastAsia="zh-CN"/>
        </w:rPr>
        <w:t>）</w:t>
      </w:r>
      <w:r>
        <w:rPr>
          <w:rFonts w:hint="eastAsia" w:ascii="仿宋_GB2312"/>
          <w:szCs w:val="32"/>
        </w:rPr>
        <w:t>的通知</w:t>
      </w:r>
      <w:r>
        <w:rPr>
          <w:rFonts w:hint="eastAsia" w:ascii="仿宋_GB2312"/>
          <w:szCs w:val="32"/>
          <w:lang w:eastAsia="zh-CN"/>
        </w:rPr>
        <w:t>》（韶曲</w:t>
      </w:r>
      <w:r>
        <w:rPr>
          <w:rFonts w:hint="eastAsia" w:ascii="仿宋_GB2312"/>
          <w:szCs w:val="32"/>
        </w:rPr>
        <w:t>财农</w:t>
      </w:r>
      <w:r>
        <w:rPr>
          <w:rFonts w:hint="eastAsia" w:ascii="仿宋_GB2312"/>
          <w:szCs w:val="32"/>
          <w:lang w:val="en-US" w:eastAsia="zh-CN"/>
        </w:rPr>
        <w:t>[</w:t>
      </w:r>
      <w:r>
        <w:rPr>
          <w:rFonts w:hint="eastAsia" w:ascii="仿宋_GB2312"/>
          <w:szCs w:val="32"/>
        </w:rPr>
        <w:t>2023</w:t>
      </w:r>
      <w:r>
        <w:rPr>
          <w:rFonts w:hint="eastAsia" w:ascii="仿宋_GB2312"/>
          <w:szCs w:val="32"/>
          <w:lang w:val="en-US" w:eastAsia="zh-CN"/>
        </w:rPr>
        <w:t>]</w:t>
      </w:r>
      <w:r>
        <w:rPr>
          <w:rFonts w:hint="eastAsia" w:ascii="仿宋_GB2312"/>
          <w:szCs w:val="32"/>
        </w:rPr>
        <w:t xml:space="preserve"> 29号</w:t>
      </w:r>
      <w:r>
        <w:rPr>
          <w:rFonts w:hint="eastAsia" w:ascii="仿宋_GB2312"/>
          <w:szCs w:val="32"/>
          <w:lang w:eastAsia="zh-CN"/>
        </w:rPr>
        <w:t>）</w:t>
      </w:r>
      <w:r>
        <w:rPr>
          <w:rFonts w:hint="eastAsia" w:ascii="仿宋_GB2312"/>
          <w:szCs w:val="32"/>
        </w:rPr>
        <w:t>下达资金190万元用于韶关市曲江区小坑水库输水隧洞</w:t>
      </w:r>
      <w:r>
        <w:rPr>
          <w:rFonts w:hint="eastAsia" w:ascii="仿宋_GB2312"/>
          <w:szCs w:val="32"/>
          <w:lang w:eastAsia="zh-CN"/>
        </w:rPr>
        <w:t>消</w:t>
      </w:r>
      <w:r>
        <w:rPr>
          <w:rFonts w:hint="eastAsia" w:ascii="仿宋_GB2312"/>
          <w:szCs w:val="32"/>
        </w:rPr>
        <w:t>力池水毁修复工程</w:t>
      </w:r>
      <w:r>
        <w:rPr>
          <w:rFonts w:hint="eastAsia" w:ascii="仿宋_GB2312"/>
          <w:szCs w:val="32"/>
          <w:lang w:eastAsia="zh-CN"/>
        </w:rPr>
        <w:t>。</w:t>
      </w:r>
      <w:r>
        <w:rPr>
          <w:rFonts w:hint="eastAsia" w:ascii="仿宋_GB2312"/>
          <w:szCs w:val="32"/>
          <w:lang w:val="en-US" w:eastAsia="zh-CN"/>
        </w:rPr>
        <w:t>小坑水库消力池是小坑水库唯一泄洪口，该工程是对输水隧洞出口原一级消力池及二级消力池中间过渡护坦段底板孔洞进行注浆，对泄洪后护坦冲毁剥离区域进行修复加固。确保水库安全运行，保障下游居民32万亩耕地及66.84万人生命安全。</w:t>
      </w:r>
    </w:p>
    <w:p w14:paraId="6DFD2FD0">
      <w:pPr>
        <w:ind w:firstLine="600" w:firstLineChars="200"/>
        <w:outlineLvl w:val="0"/>
        <w:rPr>
          <w:rFonts w:hint="eastAsia" w:ascii="仿宋_GB2312"/>
          <w:szCs w:val="32"/>
          <w:highlight w:val="yellow"/>
          <w:lang w:val="en-US" w:eastAsia="zh-CN"/>
        </w:rPr>
      </w:pPr>
      <w:r>
        <w:rPr>
          <w:rFonts w:hint="eastAsia" w:ascii="仿宋_GB2312"/>
          <w:szCs w:val="32"/>
          <w:lang w:val="en-US" w:eastAsia="zh-CN"/>
        </w:rPr>
        <w:t>绩效目标情况：开展水利工程灾损整治等水利应急救灾工作，水库水毁修复1处。工程施工设计标准、监理符合规范。</w:t>
      </w:r>
    </w:p>
    <w:p w14:paraId="4EF6730D">
      <w:pPr>
        <w:ind w:firstLine="600" w:firstLineChars="200"/>
        <w:outlineLvl w:val="0"/>
        <w:rPr>
          <w:rFonts w:hint="eastAsia" w:ascii="仿宋_GB2312"/>
          <w:szCs w:val="32"/>
          <w:lang w:val="en-US" w:eastAsia="zh-CN"/>
        </w:rPr>
      </w:pPr>
    </w:p>
    <w:p w14:paraId="083DB58A">
      <w:pPr>
        <w:ind w:firstLine="600" w:firstLineChars="200"/>
        <w:outlineLvl w:val="0"/>
        <w:rPr>
          <w:rFonts w:ascii="黑体" w:hAnsi="黑体" w:eastAsia="黑体" w:cs="黑体"/>
          <w:bCs/>
          <w:szCs w:val="32"/>
        </w:rPr>
      </w:pPr>
      <w:r>
        <w:rPr>
          <w:rFonts w:hint="eastAsia" w:ascii="黑体" w:hAnsi="黑体" w:eastAsia="黑体" w:cs="黑体"/>
          <w:bCs/>
          <w:szCs w:val="32"/>
        </w:rPr>
        <w:t>二、绩效情况分析</w:t>
      </w:r>
    </w:p>
    <w:p w14:paraId="0DF10756">
      <w:pPr>
        <w:ind w:firstLine="602" w:firstLineChars="200"/>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（一）资金投入情况分析</w:t>
      </w:r>
    </w:p>
    <w:p w14:paraId="4840732E">
      <w:pPr>
        <w:ind w:firstLine="600" w:firstLineChars="200"/>
        <w:outlineLvl w:val="0"/>
        <w:rPr>
          <w:rFonts w:hint="eastAsia" w:ascii="楷体_GB2312" w:hAnsi="楷体_GB2312" w:eastAsia="楷体_GB2312" w:cs="楷体_GB2312"/>
          <w:b/>
          <w:bCs/>
          <w:szCs w:val="32"/>
          <w:lang w:val="en-US" w:eastAsia="zh-CN"/>
        </w:rPr>
      </w:pPr>
      <w:r>
        <w:rPr>
          <w:rFonts w:hint="eastAsia" w:ascii="仿宋_GB2312"/>
          <w:szCs w:val="32"/>
        </w:rPr>
        <w:t>根据</w:t>
      </w:r>
      <w:r>
        <w:rPr>
          <w:rFonts w:hint="eastAsia" w:ascii="仿宋_GB2312"/>
          <w:szCs w:val="32"/>
          <w:lang w:eastAsia="zh-CN"/>
        </w:rPr>
        <w:t>《</w:t>
      </w:r>
      <w:r>
        <w:rPr>
          <w:rFonts w:hint="eastAsia" w:ascii="仿宋_GB2312"/>
          <w:szCs w:val="32"/>
        </w:rPr>
        <w:t>广东省财政厅关于下达2023年中央农业防灾减灾和水利救灾资金预算</w:t>
      </w:r>
      <w:r>
        <w:rPr>
          <w:rFonts w:hint="eastAsia" w:ascii="仿宋_GB2312"/>
          <w:szCs w:val="32"/>
          <w:lang w:eastAsia="zh-CN"/>
        </w:rPr>
        <w:t>（</w:t>
      </w:r>
      <w:r>
        <w:rPr>
          <w:rFonts w:hint="eastAsia" w:ascii="仿宋_GB2312"/>
          <w:szCs w:val="32"/>
        </w:rPr>
        <w:t>防灾救灾第二批</w:t>
      </w:r>
      <w:r>
        <w:rPr>
          <w:rFonts w:hint="eastAsia" w:ascii="仿宋_GB2312"/>
          <w:szCs w:val="32"/>
          <w:lang w:eastAsia="zh-CN"/>
        </w:rPr>
        <w:t>）</w:t>
      </w:r>
      <w:r>
        <w:rPr>
          <w:rFonts w:hint="eastAsia" w:ascii="仿宋_GB2312"/>
          <w:szCs w:val="32"/>
        </w:rPr>
        <w:t>的通知</w:t>
      </w:r>
      <w:r>
        <w:rPr>
          <w:rFonts w:hint="eastAsia" w:ascii="仿宋_GB2312"/>
          <w:szCs w:val="32"/>
          <w:lang w:eastAsia="zh-CN"/>
        </w:rPr>
        <w:t>》（</w:t>
      </w:r>
      <w:r>
        <w:rPr>
          <w:rFonts w:hint="eastAsia" w:ascii="仿宋_GB2312"/>
          <w:szCs w:val="32"/>
        </w:rPr>
        <w:t>粤财农</w:t>
      </w:r>
      <w:r>
        <w:rPr>
          <w:rFonts w:hint="eastAsia" w:ascii="仿宋_GB2312"/>
          <w:szCs w:val="32"/>
          <w:lang w:val="en-US" w:eastAsia="zh-CN"/>
        </w:rPr>
        <w:t>[</w:t>
      </w:r>
      <w:r>
        <w:rPr>
          <w:rFonts w:hint="eastAsia" w:ascii="仿宋_GB2312"/>
          <w:szCs w:val="32"/>
        </w:rPr>
        <w:t>2023</w:t>
      </w:r>
      <w:r>
        <w:rPr>
          <w:rFonts w:hint="eastAsia" w:ascii="仿宋_GB2312"/>
          <w:szCs w:val="32"/>
          <w:lang w:val="en-US" w:eastAsia="zh-CN"/>
        </w:rPr>
        <w:t>]</w:t>
      </w:r>
      <w:r>
        <w:rPr>
          <w:rFonts w:hint="eastAsia" w:ascii="仿宋_GB2312"/>
          <w:szCs w:val="32"/>
        </w:rPr>
        <w:t>80号</w:t>
      </w:r>
      <w:r>
        <w:rPr>
          <w:rFonts w:hint="eastAsia" w:ascii="仿宋_GB2312"/>
          <w:szCs w:val="32"/>
          <w:lang w:eastAsia="zh-CN"/>
        </w:rPr>
        <w:t>）、市财政局《</w:t>
      </w:r>
      <w:r>
        <w:rPr>
          <w:rFonts w:hint="eastAsia" w:ascii="仿宋_GB2312"/>
          <w:szCs w:val="32"/>
        </w:rPr>
        <w:t>关于下达2023年中央农业防灾减灾和水利救灾资金预算</w:t>
      </w:r>
      <w:r>
        <w:rPr>
          <w:rFonts w:hint="eastAsia" w:ascii="仿宋_GB2312"/>
          <w:szCs w:val="32"/>
          <w:lang w:eastAsia="zh-CN"/>
        </w:rPr>
        <w:t>（</w:t>
      </w:r>
      <w:r>
        <w:rPr>
          <w:rFonts w:hint="eastAsia" w:ascii="仿宋_GB2312"/>
          <w:szCs w:val="32"/>
        </w:rPr>
        <w:t>防灾救灾第二批</w:t>
      </w:r>
      <w:r>
        <w:rPr>
          <w:rFonts w:hint="eastAsia" w:ascii="仿宋_GB2312"/>
          <w:szCs w:val="32"/>
          <w:lang w:eastAsia="zh-CN"/>
        </w:rPr>
        <w:t>）</w:t>
      </w:r>
      <w:r>
        <w:rPr>
          <w:rFonts w:hint="eastAsia" w:ascii="仿宋_GB2312"/>
          <w:szCs w:val="32"/>
        </w:rPr>
        <w:t>的通知</w:t>
      </w:r>
      <w:r>
        <w:rPr>
          <w:rFonts w:hint="eastAsia" w:ascii="仿宋_GB2312"/>
          <w:szCs w:val="32"/>
          <w:lang w:eastAsia="zh-CN"/>
        </w:rPr>
        <w:t>》（韶财农</w:t>
      </w:r>
      <w:r>
        <w:rPr>
          <w:rFonts w:hint="eastAsia" w:ascii="仿宋_GB2312"/>
          <w:szCs w:val="32"/>
          <w:lang w:val="en-US" w:eastAsia="zh-CN"/>
        </w:rPr>
        <w:t>[2023]62号</w:t>
      </w:r>
      <w:r>
        <w:rPr>
          <w:rFonts w:hint="eastAsia" w:ascii="仿宋_GB2312"/>
          <w:szCs w:val="32"/>
          <w:lang w:eastAsia="zh-CN"/>
        </w:rPr>
        <w:t>）及《</w:t>
      </w:r>
      <w:r>
        <w:rPr>
          <w:rFonts w:hint="eastAsia" w:ascii="仿宋_GB2312"/>
          <w:szCs w:val="32"/>
        </w:rPr>
        <w:t>关于下达2023年中央农业防灾减灾和水利救灾资金预算</w:t>
      </w:r>
      <w:r>
        <w:rPr>
          <w:rFonts w:hint="eastAsia" w:ascii="仿宋_GB2312"/>
          <w:szCs w:val="32"/>
          <w:lang w:eastAsia="zh-CN"/>
        </w:rPr>
        <w:t>（</w:t>
      </w:r>
      <w:r>
        <w:rPr>
          <w:rFonts w:hint="eastAsia" w:ascii="仿宋_GB2312"/>
          <w:szCs w:val="32"/>
        </w:rPr>
        <w:t>防灾救灾第二批</w:t>
      </w:r>
      <w:r>
        <w:rPr>
          <w:rFonts w:hint="eastAsia" w:ascii="仿宋_GB2312"/>
          <w:szCs w:val="32"/>
          <w:lang w:eastAsia="zh-CN"/>
        </w:rPr>
        <w:t>）</w:t>
      </w:r>
      <w:r>
        <w:rPr>
          <w:rFonts w:hint="eastAsia" w:ascii="仿宋_GB2312"/>
          <w:szCs w:val="32"/>
        </w:rPr>
        <w:t>的通知</w:t>
      </w:r>
      <w:r>
        <w:rPr>
          <w:rFonts w:hint="eastAsia" w:ascii="仿宋_GB2312"/>
          <w:szCs w:val="32"/>
          <w:lang w:eastAsia="zh-CN"/>
        </w:rPr>
        <w:t>》（韶财农</w:t>
      </w:r>
      <w:r>
        <w:rPr>
          <w:rFonts w:hint="eastAsia" w:ascii="仿宋_GB2312"/>
          <w:szCs w:val="32"/>
          <w:lang w:val="en-US" w:eastAsia="zh-CN"/>
        </w:rPr>
        <w:t>[2023]67号</w:t>
      </w:r>
      <w:r>
        <w:rPr>
          <w:rFonts w:hint="eastAsia" w:ascii="仿宋_GB2312"/>
          <w:szCs w:val="32"/>
          <w:lang w:eastAsia="zh-CN"/>
        </w:rPr>
        <w:t>）下达中央水利救灾资金</w:t>
      </w:r>
      <w:r>
        <w:rPr>
          <w:rFonts w:hint="eastAsia" w:ascii="仿宋_GB2312"/>
          <w:szCs w:val="32"/>
          <w:lang w:val="en-US" w:eastAsia="zh-CN"/>
        </w:rPr>
        <w:t>190万元，实际支付25万元，预算执行率13.16%。</w:t>
      </w:r>
    </w:p>
    <w:p w14:paraId="5565BF93">
      <w:pPr>
        <w:numPr>
          <w:ilvl w:val="0"/>
          <w:numId w:val="1"/>
        </w:numPr>
        <w:ind w:firstLine="602" w:firstLineChars="200"/>
        <w:outlineLvl w:val="0"/>
        <w:rPr>
          <w:rFonts w:hint="eastAsia" w:ascii="楷体_GB2312" w:hAnsi="楷体_GB2312" w:eastAsia="楷体_GB2312" w:cs="楷体_GB2312"/>
          <w:b/>
          <w:bCs/>
          <w:szCs w:val="32"/>
          <w:lang w:eastAsia="zh-CN"/>
        </w:rPr>
      </w:pPr>
      <w:r>
        <w:rPr>
          <w:rFonts w:hint="eastAsia" w:ascii="楷体_GB2312" w:hAnsi="楷体_GB2312" w:eastAsia="楷体_GB2312" w:cs="楷体_GB2312"/>
          <w:b/>
          <w:bCs/>
          <w:szCs w:val="32"/>
          <w:lang w:eastAsia="zh-CN"/>
        </w:rPr>
        <w:t>资金管理情况分析</w:t>
      </w:r>
    </w:p>
    <w:p w14:paraId="102B16BE">
      <w:pPr>
        <w:ind w:firstLine="600" w:firstLineChars="200"/>
        <w:outlineLvl w:val="0"/>
        <w:rPr>
          <w:rFonts w:hint="eastAsia" w:ascii="仿宋_GB2312" w:hAnsi="仿宋_GB2312" w:cs="仿宋_GB2312"/>
          <w:b w:val="0"/>
          <w:bCs w:val="0"/>
          <w:szCs w:val="32"/>
          <w:lang w:eastAsia="zh-CN"/>
        </w:rPr>
      </w:pPr>
      <w:r>
        <w:rPr>
          <w:rFonts w:hint="eastAsia" w:ascii="仿宋_GB2312" w:hAnsi="仿宋_GB2312" w:cs="仿宋_GB2312"/>
          <w:b w:val="0"/>
          <w:bCs w:val="0"/>
          <w:szCs w:val="32"/>
          <w:lang w:eastAsia="zh-CN"/>
        </w:rPr>
        <w:t>资金分配科学性项目合同价219.90万元，已及时下达中央水利救灾资金</w:t>
      </w:r>
      <w:r>
        <w:rPr>
          <w:rFonts w:hint="eastAsia" w:ascii="仿宋_GB2312" w:hAnsi="仿宋_GB2312" w:cs="仿宋_GB2312"/>
          <w:b w:val="0"/>
          <w:bCs w:val="0"/>
          <w:szCs w:val="32"/>
          <w:lang w:val="en-US" w:eastAsia="zh-CN"/>
        </w:rPr>
        <w:t>1</w:t>
      </w:r>
      <w:r>
        <w:rPr>
          <w:rFonts w:hint="eastAsia" w:ascii="仿宋_GB2312" w:hAnsi="仿宋_GB2312" w:cs="仿宋_GB2312"/>
          <w:b w:val="0"/>
          <w:bCs w:val="0"/>
          <w:szCs w:val="32"/>
          <w:lang w:eastAsia="zh-CN"/>
        </w:rPr>
        <w:t>90万元，财政局根据项目实施进度和合同约定，直接拨付给各实施单位，实行国库集中支付制度，使用规范严格按照下达预算的科目和项目执行，未出现截留，挤占，挪用或擅自调整等问题，执行准确按照上级下达和本级预算安排的金额执行，不存在执行数偏离预算数较多的问题，下达预算时同步下达绩效目标，将有关资金纳入对下转移支付绩效管理，开展绩效监控和绩效评价，足额安排资金履行本级支出责任。</w:t>
      </w:r>
    </w:p>
    <w:p w14:paraId="6834ED42">
      <w:pPr>
        <w:numPr>
          <w:ilvl w:val="0"/>
          <w:numId w:val="1"/>
        </w:numPr>
        <w:ind w:firstLine="602" w:firstLineChars="200"/>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总体绩效目标完成情况分析</w:t>
      </w:r>
    </w:p>
    <w:p w14:paraId="603EE755">
      <w:pPr>
        <w:numPr>
          <w:ilvl w:val="0"/>
          <w:numId w:val="0"/>
        </w:numPr>
        <w:ind w:firstLine="602"/>
        <w:outlineLvl w:val="0"/>
        <w:rPr>
          <w:rFonts w:hint="eastAsia"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总体目标是完成韶关市曲江区小坑水库输水隧洞消力池水毁修复工程的竣工验收，发生工程设计标准内洪水不受严重影响。全年实际完成项目总体形象进度100%。</w:t>
      </w:r>
    </w:p>
    <w:p w14:paraId="3F5D4CFC">
      <w:pPr>
        <w:numPr>
          <w:ilvl w:val="0"/>
          <w:numId w:val="1"/>
        </w:numPr>
        <w:ind w:firstLine="602" w:firstLineChars="200"/>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14:paraId="4F834D50">
      <w:pPr>
        <w:numPr>
          <w:ilvl w:val="0"/>
          <w:numId w:val="0"/>
        </w:numPr>
        <w:outlineLvl w:val="0"/>
        <w:rPr>
          <w:rFonts w:hint="eastAsia" w:ascii="仿宋_GB2312" w:hAnsi="仿宋_GB2312" w:cs="仿宋_GB2312"/>
          <w:b w:val="0"/>
          <w:bCs w:val="0"/>
          <w:szCs w:val="32"/>
          <w:lang w:val="en-US" w:eastAsia="zh-CN"/>
        </w:rPr>
      </w:pPr>
      <w:r>
        <w:rPr>
          <w:rFonts w:hint="eastAsia" w:ascii="楷体_GB2312" w:hAnsi="楷体_GB2312" w:eastAsia="楷体_GB2312" w:cs="楷体_GB2312"/>
          <w:b/>
          <w:bCs/>
          <w:szCs w:val="32"/>
          <w:lang w:val="en-US" w:eastAsia="zh-CN"/>
        </w:rPr>
        <w:t xml:space="preserve">     </w:t>
      </w:r>
      <w:r>
        <w:rPr>
          <w:rFonts w:hint="eastAsia" w:ascii="仿宋_GB2312" w:hAnsi="仿宋_GB2312" w:cs="仿宋_GB2312"/>
          <w:b w:val="0"/>
          <w:bCs w:val="0"/>
          <w:szCs w:val="32"/>
          <w:lang w:val="en-US" w:eastAsia="zh-CN"/>
        </w:rPr>
        <w:t>产出数量指标是完成水库（水电站）水毁修复一处，全年实际</w:t>
      </w:r>
      <w:r>
        <w:rPr>
          <w:rFonts w:hint="eastAsia" w:ascii="仿宋_GB2312"/>
          <w:szCs w:val="32"/>
          <w:lang w:val="en-US" w:eastAsia="zh-CN"/>
        </w:rPr>
        <w:t>完成一处。工程刚完工未验收，中央水利救灾资金190万已下达，截至2024年3月</w:t>
      </w:r>
      <w:bookmarkStart w:id="0" w:name="_GoBack"/>
      <w:bookmarkEnd w:id="0"/>
      <w:r>
        <w:rPr>
          <w:rFonts w:hint="eastAsia" w:ascii="仿宋_GB2312"/>
          <w:szCs w:val="32"/>
          <w:lang w:val="en-US" w:eastAsia="zh-CN"/>
        </w:rPr>
        <w:t>已申请待支付58.47万元，进度款因区财政库款紧张，施工单位未继续申请支付，所以实际执行率13.16%，项目的支</w:t>
      </w:r>
      <w:r>
        <w:rPr>
          <w:rFonts w:hint="eastAsia" w:ascii="仿宋_GB2312" w:hAnsi="仿宋_GB2312" w:cs="仿宋_GB2312"/>
          <w:b w:val="0"/>
          <w:bCs w:val="0"/>
          <w:szCs w:val="32"/>
          <w:lang w:val="en-US" w:eastAsia="zh-CN"/>
        </w:rPr>
        <w:t>出控制在下达的范围内。经济、社会、生态等各项指标成果显著:保障防洪工程安全度汛、保障居民社会生活平稳、促进地区和谐发展、为国民经济持续健康发展和社会稳定提供安全保障。该工程实施得到了上级主管部门水务局的肯定，群众满意度达到了90%以上。</w:t>
      </w:r>
    </w:p>
    <w:p w14:paraId="0FE9FBDF">
      <w:pPr>
        <w:ind w:firstLine="600" w:firstLineChars="200"/>
        <w:rPr>
          <w:rFonts w:ascii="仿宋_GB2312"/>
          <w:szCs w:val="32"/>
        </w:rPr>
      </w:pPr>
      <w:r>
        <w:rPr>
          <w:rFonts w:hint="eastAsia" w:ascii="黑体" w:hAnsi="黑体" w:eastAsia="黑体" w:cs="黑体"/>
          <w:bCs/>
          <w:szCs w:val="32"/>
        </w:rPr>
        <w:t>三、偏离绩效目标的原因和下一步改进措施</w:t>
      </w:r>
    </w:p>
    <w:p w14:paraId="6A289487">
      <w:pPr>
        <w:ind w:firstLine="600" w:firstLineChars="200"/>
        <w:rPr>
          <w:rFonts w:hint="eastAsia" w:ascii="仿宋_GB2312"/>
          <w:szCs w:val="32"/>
          <w:lang w:eastAsia="zh-CN"/>
        </w:rPr>
      </w:pPr>
      <w:r>
        <w:rPr>
          <w:rFonts w:hint="eastAsia" w:ascii="仿宋_GB2312"/>
          <w:szCs w:val="32"/>
          <w:lang w:eastAsia="zh-CN"/>
        </w:rPr>
        <w:t>无</w:t>
      </w:r>
    </w:p>
    <w:p w14:paraId="7F395D09">
      <w:pPr>
        <w:numPr>
          <w:ilvl w:val="0"/>
          <w:numId w:val="2"/>
        </w:numPr>
        <w:ind w:firstLine="600" w:firstLineChars="200"/>
        <w:rPr>
          <w:rFonts w:hint="eastAsia" w:ascii="黑体" w:hAnsi="黑体" w:eastAsia="黑体" w:cs="黑体"/>
          <w:bCs/>
          <w:szCs w:val="32"/>
        </w:rPr>
      </w:pPr>
      <w:r>
        <w:rPr>
          <w:rFonts w:hint="eastAsia" w:ascii="黑体" w:hAnsi="黑体" w:eastAsia="黑体" w:cs="黑体"/>
          <w:bCs/>
          <w:szCs w:val="32"/>
        </w:rPr>
        <w:t>绩效自评结果拟应用和公开情况</w:t>
      </w:r>
    </w:p>
    <w:p w14:paraId="32CCB131">
      <w:pPr>
        <w:numPr>
          <w:ilvl w:val="0"/>
          <w:numId w:val="0"/>
        </w:numPr>
        <w:rPr>
          <w:rFonts w:hint="eastAsia" w:ascii="仿宋_GB2312" w:hAnsi="仿宋_GB2312" w:cs="仿宋_GB2312"/>
          <w:b w:val="0"/>
          <w:bCs w:val="0"/>
          <w:szCs w:val="32"/>
          <w:lang w:val="en-US" w:eastAsia="zh-CN"/>
        </w:rPr>
      </w:pPr>
      <w:r>
        <w:rPr>
          <w:rFonts w:hint="eastAsia" w:ascii="黑体" w:hAnsi="黑体" w:eastAsia="黑体" w:cs="黑体"/>
          <w:bCs/>
          <w:szCs w:val="32"/>
          <w:lang w:val="en-US" w:eastAsia="zh-CN"/>
        </w:rPr>
        <w:t xml:space="preserve">    </w:t>
      </w:r>
      <w:r>
        <w:rPr>
          <w:rFonts w:hint="eastAsia" w:ascii="仿宋_GB2312" w:hAnsi="仿宋_GB2312" w:cs="仿宋_GB2312"/>
          <w:b w:val="0"/>
          <w:bCs w:val="0"/>
          <w:szCs w:val="32"/>
          <w:lang w:val="en-US" w:eastAsia="zh-CN"/>
        </w:rPr>
        <w:t>无</w:t>
      </w:r>
    </w:p>
    <w:p w14:paraId="49CC061E">
      <w:pPr>
        <w:ind w:firstLine="600" w:firstLineChars="200"/>
        <w:rPr>
          <w:rFonts w:ascii="黑体" w:hAnsi="黑体" w:eastAsia="黑体" w:cs="黑体"/>
          <w:bCs/>
          <w:szCs w:val="32"/>
        </w:rPr>
      </w:pPr>
      <w:r>
        <w:rPr>
          <w:rFonts w:hint="eastAsia" w:ascii="黑体" w:hAnsi="黑体" w:eastAsia="黑体" w:cs="黑体"/>
          <w:bCs/>
          <w:szCs w:val="32"/>
        </w:rPr>
        <w:t>五、其他需要说明的问题</w:t>
      </w:r>
    </w:p>
    <w:p w14:paraId="5CDC8702">
      <w:pPr>
        <w:ind w:firstLine="600" w:firstLineChars="200"/>
        <w:rPr>
          <w:rFonts w:hint="eastAsia" w:eastAsia="仿宋_GB2312"/>
          <w:lang w:eastAsia="zh-CN"/>
        </w:rPr>
      </w:pPr>
      <w:r>
        <w:rPr>
          <w:rFonts w:hint="eastAsia"/>
          <w:lang w:eastAsia="zh-CN"/>
        </w:rPr>
        <w:t>无</w:t>
      </w:r>
    </w:p>
    <w:p w14:paraId="12A45B0A">
      <w:pPr>
        <w:ind w:firstLine="600" w:firstLineChars="200"/>
        <w:rPr>
          <w:rFonts w:hint="eastAsia" w:ascii="黑体" w:hAnsi="黑体" w:eastAsia="黑体" w:cs="黑体"/>
          <w:bCs/>
          <w:szCs w:val="32"/>
          <w:lang w:eastAsia="zh-CN"/>
        </w:rPr>
      </w:pPr>
      <w:r>
        <w:rPr>
          <w:rFonts w:hint="eastAsia" w:ascii="黑体" w:hAnsi="黑体" w:eastAsia="黑体" w:cs="黑体"/>
          <w:bCs/>
          <w:szCs w:val="32"/>
          <w:lang w:eastAsia="zh-CN"/>
        </w:rPr>
        <w:t>六、附件</w:t>
      </w:r>
    </w:p>
    <w:p w14:paraId="5902D940">
      <w:pPr>
        <w:numPr>
          <w:ilvl w:val="0"/>
          <w:numId w:val="0"/>
        </w:numPr>
      </w:pPr>
      <w:r>
        <w:rPr>
          <w:rFonts w:hint="eastAsia"/>
          <w:lang w:val="en-US" w:eastAsia="zh-CN"/>
        </w:rPr>
        <w:t xml:space="preserve">    转移支付区域（韶关市曲江区小坑水库输水隧洞消力池水毁修复工程）绩效目标自评表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CE2A5">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EF0F7A"/>
    <w:multiLevelType w:val="singleLevel"/>
    <w:tmpl w:val="65EF0F7A"/>
    <w:lvl w:ilvl="0" w:tentative="0">
      <w:start w:val="2"/>
      <w:numFmt w:val="chineseCounting"/>
      <w:suff w:val="nothing"/>
      <w:lvlText w:val="（%1）"/>
      <w:lvlJc w:val="left"/>
    </w:lvl>
  </w:abstractNum>
  <w:abstractNum w:abstractNumId="1">
    <w:nsid w:val="65EFADD4"/>
    <w:multiLevelType w:val="singleLevel"/>
    <w:tmpl w:val="65EFADD4"/>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YxODNmN2E5MDVmOTk1ZjY5MTFkZjI5MWQyNzNiNDU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2962229"/>
    <w:rsid w:val="037D0BC8"/>
    <w:rsid w:val="03F756FF"/>
    <w:rsid w:val="0845082D"/>
    <w:rsid w:val="09E965F2"/>
    <w:rsid w:val="101C21A0"/>
    <w:rsid w:val="11FD7C7D"/>
    <w:rsid w:val="139840D3"/>
    <w:rsid w:val="143E091F"/>
    <w:rsid w:val="14865FC8"/>
    <w:rsid w:val="150C2DB0"/>
    <w:rsid w:val="1A3C5B19"/>
    <w:rsid w:val="1B3632F5"/>
    <w:rsid w:val="1E761F05"/>
    <w:rsid w:val="1F7BE1E6"/>
    <w:rsid w:val="1FC7205C"/>
    <w:rsid w:val="203F40F9"/>
    <w:rsid w:val="228B3D05"/>
    <w:rsid w:val="284E74F8"/>
    <w:rsid w:val="2ADB48E8"/>
    <w:rsid w:val="36687282"/>
    <w:rsid w:val="373D6ECE"/>
    <w:rsid w:val="38EF7AD8"/>
    <w:rsid w:val="3E1672E6"/>
    <w:rsid w:val="3EB9C2BB"/>
    <w:rsid w:val="415F08D8"/>
    <w:rsid w:val="44E2230F"/>
    <w:rsid w:val="48B51347"/>
    <w:rsid w:val="491B45FA"/>
    <w:rsid w:val="4A55216A"/>
    <w:rsid w:val="4FE0696A"/>
    <w:rsid w:val="52096E8E"/>
    <w:rsid w:val="546F8569"/>
    <w:rsid w:val="55673508"/>
    <w:rsid w:val="57643691"/>
    <w:rsid w:val="59595A6F"/>
    <w:rsid w:val="599330CA"/>
    <w:rsid w:val="5A7FCB1F"/>
    <w:rsid w:val="5E4E3AB5"/>
    <w:rsid w:val="5FEAF7C9"/>
    <w:rsid w:val="60D5009F"/>
    <w:rsid w:val="64AC2E11"/>
    <w:rsid w:val="654505A3"/>
    <w:rsid w:val="660721C9"/>
    <w:rsid w:val="661E6C75"/>
    <w:rsid w:val="67F75FF5"/>
    <w:rsid w:val="681D4831"/>
    <w:rsid w:val="690651BF"/>
    <w:rsid w:val="692E4B19"/>
    <w:rsid w:val="69513EF7"/>
    <w:rsid w:val="6B4768B3"/>
    <w:rsid w:val="6BF3256F"/>
    <w:rsid w:val="6CE7018A"/>
    <w:rsid w:val="6DFF9065"/>
    <w:rsid w:val="6E3E3F2D"/>
    <w:rsid w:val="6FFFF1DA"/>
    <w:rsid w:val="715B2F02"/>
    <w:rsid w:val="76A548F2"/>
    <w:rsid w:val="7765772E"/>
    <w:rsid w:val="776F5E62"/>
    <w:rsid w:val="77867685"/>
    <w:rsid w:val="781F36B6"/>
    <w:rsid w:val="790627AD"/>
    <w:rsid w:val="7ADC59FA"/>
    <w:rsid w:val="7AFF2FC3"/>
    <w:rsid w:val="7BF6B4C5"/>
    <w:rsid w:val="7DDD794F"/>
    <w:rsid w:val="7FDE47D5"/>
    <w:rsid w:val="8F7DEBDF"/>
    <w:rsid w:val="94BFC172"/>
    <w:rsid w:val="9BFA614C"/>
    <w:rsid w:val="BFBF52D7"/>
    <w:rsid w:val="DF6E82F1"/>
    <w:rsid w:val="F7FBEBBF"/>
    <w:rsid w:val="FDB5389F"/>
    <w:rsid w:val="FFFEF9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unhideWhenUsed/>
    <w:qFormat/>
    <w:uiPriority w:val="1"/>
  </w:style>
  <w:style w:type="table" w:default="1" w:styleId="5">
    <w:name w:val="Normal Table"/>
    <w:autoRedefine/>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link w:val="7"/>
    <w:autoRedefine/>
    <w:qFormat/>
    <w:uiPriority w:val="99"/>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autoRedefine/>
    <w:qFormat/>
    <w:uiPriority w:val="99"/>
    <w:rPr>
      <w:rFonts w:eastAsia="仿宋_GB2312"/>
      <w:kern w:val="2"/>
      <w:sz w:val="18"/>
      <w:szCs w:val="18"/>
    </w:rPr>
  </w:style>
  <w:style w:type="character" w:customStyle="1" w:styleId="8">
    <w:name w:val="页眉 Char"/>
    <w:basedOn w:val="6"/>
    <w:link w:val="4"/>
    <w:autoRedefine/>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1123</Words>
  <Characters>1206</Characters>
  <Lines>3</Lines>
  <Paragraphs>1</Paragraphs>
  <TotalTime>13</TotalTime>
  <ScaleCrop>false</ScaleCrop>
  <LinksUpToDate>false</LinksUpToDate>
  <CharactersWithSpaces>1220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2019-02-14T14:26:00Z</dcterms:created>
  <dc:creator>lhn</dc:creator>
  <cp:lastModifiedBy>胡reica</cp:lastModifiedBy>
  <cp:lastPrinted>2021-02-03T20:58:00Z</cp:lastPrinted>
  <dcterms:modified xsi:type="dcterms:W3CDTF">2024-11-08T11:06:06Z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2B58ADA877EB4A1EBD82B27ACA54F577_12</vt:lpwstr>
  </property>
</Properties>
</file>