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（七）公共法律服务领域基层政务公开标准目录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9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2340" w:type="dxa"/>
            <w:vMerge w:val="continue"/>
            <w:shd w:val="clear" w:color="auto" w:fill="auto"/>
            <w:noWrap w:val="0"/>
            <w:vAlign w:val="center"/>
          </w:tcPr>
          <w:p>
            <w:pPr>
              <w:widowControl/>
              <w:jc w:val="left"/>
              <w:rPr>
                <w:rFonts w:ascii="黑体" w:hAnsi="宋体" w:eastAsia="黑体" w:cs="宋体"/>
                <w:kern w:val="0"/>
                <w:sz w:val="22"/>
              </w:rPr>
            </w:pP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noWrap w:val="0"/>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《法律援助条例》、《广东省法律援助条例》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《法律援助条例》、《广东省法律援助条例》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《法律援助条例》、《广东省法律援助条例》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《法律援助条例》、《广东省法律援助条例》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《法律援助条例》、《广东省法律援助条例》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《人民调解法》、《广东省人民调解条例》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《中共中央、国务院转发&lt;中央宣传部、司法部关于在公民中开展法治宣传教育的第七个五年规划（2016－2020年）&gt;》《广东省“七五”普法规划》</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r>
              <w:rPr>
                <w:rFonts w:hint="eastAsia" w:ascii="仿宋_GB2312" w:hAnsi="宋体" w:eastAsia="仿宋_GB2312"/>
                <w:color w:val="000000"/>
                <w:sz w:val="18"/>
                <w:szCs w:val="18"/>
              </w:rPr>
              <w:t>、公共法律服务中心、公共法律服务工作站</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曲江区司法局</w:t>
            </w:r>
            <w:bookmarkStart w:id="0" w:name="_GoBack"/>
            <w:bookmarkEnd w:id="0"/>
            <w:r>
              <w:rPr>
                <w:rFonts w:hint="eastAsia" w:ascii="仿宋_GB2312" w:hAnsi="宋体" w:eastAsia="仿宋_GB2312"/>
                <w:color w:val="000000"/>
                <w:sz w:val="18"/>
                <w:szCs w:val="18"/>
              </w:rPr>
              <w:t>、公共法律服务中心、公共法律服务工作站</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w:rPr>
        <w:rStyle w:val="6"/>
      </w:rPr>
      <w:fldChar w:fldCharType="begin"/>
    </w:r>
    <w:r>
      <w:rPr>
        <w:rStyle w:val="6"/>
      </w:rPr>
      <w:instrText xml:space="preserve"> PAGE </w:instrText>
    </w:r>
    <w:r>
      <w:rPr>
        <w:rStyle w:val="6"/>
      </w:rPr>
      <w:fldChar w:fldCharType="separate"/>
    </w:r>
    <w:r>
      <w:rPr>
        <w:rStyle w:val="6"/>
      </w:rPr>
      <w:t>2</w:t>
    </w:r>
    <w:r>
      <w:rPr>
        <w:rStyle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C2025"/>
    <w:rsid w:val="0E6F763E"/>
    <w:rsid w:val="1C491430"/>
    <w:rsid w:val="2731778C"/>
    <w:rsid w:val="306C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2020-11-20T07:57:00Z</dcterms:created>
  <dc:creator>Administrator</dc:creator>
  <cp:lastModifiedBy>Administrator</cp:lastModifiedBy>
  <dcterms:modified xsi:type="dcterms:W3CDTF">2020-11-24T02:37:42Z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