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Style w:val="6"/>
          <w:rFonts w:ascii="宋体" w:hAnsi="宋体" w:eastAsia="黑体"/>
          <w:b/>
          <w:sz w:val="32"/>
          <w:szCs w:val="32"/>
        </w:rPr>
      </w:pPr>
      <w:r>
        <w:rPr>
          <w:rStyle w:val="6"/>
          <w:rFonts w:ascii="黑体" w:hAnsi="黑体" w:eastAsia="黑体"/>
          <w:color w:val="000000"/>
          <w:sz w:val="32"/>
          <w:szCs w:val="32"/>
        </w:rPr>
        <w:t>附件6</w:t>
      </w:r>
    </w:p>
    <w:p>
      <w:pPr>
        <w:jc w:val="center"/>
        <w:rPr>
          <w:rStyle w:val="6"/>
          <w:rFonts w:ascii="方正小标宋简体" w:hAnsi="宋体" w:eastAsia="方正小标宋简体" w:cs="Times New Roman"/>
          <w:b/>
          <w:bCs/>
          <w:sz w:val="52"/>
          <w:szCs w:val="52"/>
        </w:rPr>
      </w:pPr>
      <w:r>
        <w:rPr>
          <w:rStyle w:val="6"/>
          <w:rFonts w:ascii="方正小标宋简体" w:hAnsi="宋体" w:eastAsia="方正小标宋简体" w:cs="Times New Roman"/>
          <w:b/>
          <w:bCs/>
          <w:sz w:val="52"/>
          <w:szCs w:val="52"/>
        </w:rPr>
        <w:t>曲江区绩效自评报告</w:t>
      </w:r>
    </w:p>
    <w:p>
      <w:pPr>
        <w:jc w:val="center"/>
        <w:rPr>
          <w:rStyle w:val="6"/>
          <w:rFonts w:ascii="仿宋_GB2312" w:hAnsi="宋体" w:eastAsia="仿宋_GB2312"/>
          <w:sz w:val="32"/>
          <w:szCs w:val="32"/>
        </w:rPr>
      </w:pPr>
      <w:r>
        <w:rPr>
          <w:rStyle w:val="6"/>
          <w:rFonts w:ascii="仿宋_GB2312" w:hAnsi="宋体" w:eastAsia="仿宋_GB2312"/>
          <w:sz w:val="32"/>
          <w:szCs w:val="32"/>
        </w:rPr>
        <w:t>（202</w:t>
      </w:r>
      <w:r>
        <w:rPr>
          <w:rStyle w:val="6"/>
          <w:rFonts w:hint="eastAsia" w:ascii="仿宋_GB2312" w:hAnsi="宋体" w:eastAsia="仿宋_GB2312"/>
          <w:sz w:val="32"/>
          <w:szCs w:val="32"/>
          <w:lang w:val="en-US" w:eastAsia="zh-CN"/>
        </w:rPr>
        <w:t>2</w:t>
      </w:r>
      <w:r>
        <w:rPr>
          <w:rStyle w:val="6"/>
          <w:rFonts w:ascii="仿宋_GB2312" w:hAnsi="宋体" w:eastAsia="仿宋_GB2312"/>
          <w:sz w:val="32"/>
          <w:szCs w:val="32"/>
        </w:rPr>
        <w:t>年度）</w:t>
      </w:r>
    </w:p>
    <w:p>
      <w:pPr>
        <w:jc w:val="center"/>
        <w:rPr>
          <w:rStyle w:val="6"/>
          <w:rFonts w:ascii="仿宋_GB2312" w:hAnsi="宋体" w:eastAsia="仿宋_GB2312"/>
          <w:sz w:val="32"/>
          <w:szCs w:val="32"/>
        </w:rPr>
      </w:pPr>
    </w:p>
    <w:p>
      <w:pPr>
        <w:spacing w:line="720" w:lineRule="auto"/>
        <w:ind w:firstLine="1440" w:firstLineChars="450"/>
        <w:rPr>
          <w:rStyle w:val="6"/>
          <w:rFonts w:ascii="仿宋_GB2312" w:hAnsi="宋体" w:eastAsia="仿宋_GB2312"/>
          <w:sz w:val="32"/>
        </w:rPr>
      </w:pPr>
    </w:p>
    <w:p>
      <w:pPr>
        <w:spacing w:line="720" w:lineRule="auto"/>
        <w:ind w:firstLine="1440" w:firstLineChars="450"/>
        <w:rPr>
          <w:rStyle w:val="6"/>
          <w:rFonts w:ascii="仿宋_GB2312" w:hAnsi="宋体" w:eastAsia="仿宋_GB2312"/>
          <w:sz w:val="32"/>
        </w:rPr>
      </w:pPr>
      <w:r>
        <w:rPr>
          <w:rStyle w:val="6"/>
          <w:rFonts w:ascii="仿宋_GB2312" w:hAnsi="宋体" w:eastAsia="仿宋_GB2312"/>
          <w:sz w:val="32"/>
        </w:rPr>
        <w:t xml:space="preserve">评价类型： 项目实施过程评价 </w:t>
      </w:r>
    </w:p>
    <w:p>
      <w:pPr>
        <w:spacing w:line="720" w:lineRule="auto"/>
        <w:ind w:firstLine="1440" w:firstLineChars="450"/>
        <w:rPr>
          <w:rStyle w:val="6"/>
          <w:rFonts w:ascii="仿宋_GB2312" w:hAnsi="宋体" w:eastAsia="仿宋_GB2312"/>
          <w:sz w:val="32"/>
        </w:rPr>
      </w:pPr>
      <w:r>
        <w:rPr>
          <w:rStyle w:val="6"/>
          <w:rFonts w:ascii="仿宋_GB2312" w:hAnsi="宋体" w:eastAsia="仿宋_GB2312"/>
          <w:sz w:val="32"/>
        </w:rPr>
        <w:t xml:space="preserve">           项目完成结果评价 </w:t>
      </w:r>
    </w:p>
    <w:p>
      <w:pPr>
        <w:spacing w:before="312" w:after="312" w:line="1000" w:lineRule="exact"/>
        <w:ind w:firstLine="1440" w:firstLineChars="450"/>
        <w:rPr>
          <w:rStyle w:val="6"/>
          <w:rFonts w:ascii="仿宋_GB2312" w:hAnsi="宋体" w:eastAsia="仿宋_GB2312"/>
          <w:sz w:val="32"/>
        </w:rPr>
      </w:pPr>
      <w:r>
        <w:rPr>
          <w:rStyle w:val="6"/>
          <w:rFonts w:ascii="仿宋_GB2312" w:hAnsi="宋体" w:eastAsia="仿宋_GB2312"/>
          <w:sz w:val="32"/>
        </w:rPr>
        <w:t>项目名称：</w:t>
      </w:r>
      <w:r>
        <w:rPr>
          <w:rStyle w:val="6"/>
          <w:rFonts w:hint="eastAsia" w:ascii="仿宋_GB2312" w:hAnsi="宋体" w:eastAsia="仿宋_GB2312"/>
          <w:sz w:val="32"/>
        </w:rPr>
        <w:t>202</w:t>
      </w:r>
      <w:r>
        <w:rPr>
          <w:rStyle w:val="6"/>
          <w:rFonts w:hint="eastAsia" w:ascii="仿宋_GB2312" w:hAnsi="宋体" w:eastAsia="仿宋_GB2312"/>
          <w:sz w:val="32"/>
          <w:lang w:val="en-US" w:eastAsia="zh-CN"/>
        </w:rPr>
        <w:t>2</w:t>
      </w:r>
      <w:r>
        <w:rPr>
          <w:rStyle w:val="6"/>
          <w:rFonts w:hint="eastAsia" w:ascii="仿宋_GB2312" w:hAnsi="宋体" w:eastAsia="仿宋_GB2312"/>
          <w:sz w:val="32"/>
        </w:rPr>
        <w:t>年曲江区文化馆免费开放经费</w:t>
      </w:r>
    </w:p>
    <w:p>
      <w:pPr>
        <w:spacing w:before="312" w:after="312" w:line="1000" w:lineRule="exact"/>
        <w:ind w:firstLine="1449" w:firstLineChars="453"/>
        <w:rPr>
          <w:rStyle w:val="6"/>
          <w:rFonts w:ascii="仿宋_GB2312" w:hAnsi="宋体" w:eastAsia="仿宋_GB2312"/>
          <w:sz w:val="32"/>
        </w:rPr>
      </w:pPr>
      <w:r>
        <w:rPr>
          <w:rStyle w:val="6"/>
          <w:rFonts w:ascii="仿宋_GB2312" w:hAnsi="宋体" w:eastAsia="仿宋_GB2312"/>
          <w:sz w:val="32"/>
        </w:rPr>
        <w:t>项目单位：（公章）</w:t>
      </w:r>
    </w:p>
    <w:p>
      <w:pPr>
        <w:spacing w:before="312" w:after="312" w:line="1000" w:lineRule="exact"/>
        <w:ind w:firstLine="1449" w:firstLineChars="453"/>
        <w:rPr>
          <w:rStyle w:val="6"/>
          <w:rFonts w:ascii="仿宋_GB2312" w:hAnsi="宋体" w:eastAsia="仿宋_GB2312"/>
          <w:sz w:val="32"/>
        </w:rPr>
      </w:pPr>
      <w:r>
        <w:rPr>
          <w:rStyle w:val="6"/>
          <w:rFonts w:ascii="仿宋_GB2312" w:hAnsi="宋体" w:eastAsia="仿宋_GB2312"/>
          <w:sz w:val="32"/>
        </w:rPr>
        <w:t>填报人姓名：陈德斌</w:t>
      </w:r>
    </w:p>
    <w:p>
      <w:pPr>
        <w:spacing w:before="312" w:after="312" w:line="1000" w:lineRule="exact"/>
        <w:ind w:firstLine="1449" w:firstLineChars="453"/>
        <w:rPr>
          <w:rStyle w:val="6"/>
          <w:rFonts w:ascii="仿宋_GB2312" w:hAnsi="宋体" w:eastAsia="仿宋_GB2312"/>
          <w:sz w:val="32"/>
        </w:rPr>
      </w:pPr>
      <w:r>
        <w:rPr>
          <w:rStyle w:val="6"/>
          <w:rFonts w:ascii="仿宋_GB2312" w:hAnsi="宋体" w:eastAsia="仿宋_GB2312"/>
          <w:sz w:val="32"/>
        </w:rPr>
        <w:t>联系电话：6667052</w:t>
      </w:r>
    </w:p>
    <w:p>
      <w:pPr>
        <w:spacing w:before="312" w:after="312" w:line="1000" w:lineRule="exact"/>
        <w:ind w:firstLine="1449" w:firstLineChars="453"/>
        <w:rPr>
          <w:rStyle w:val="6"/>
          <w:rFonts w:ascii="仿宋_GB2312" w:hAnsi="宋体" w:eastAsia="仿宋_GB2312"/>
          <w:sz w:val="32"/>
        </w:rPr>
      </w:pPr>
      <w:r>
        <w:rPr>
          <w:rStyle w:val="6"/>
          <w:rFonts w:ascii="仿宋_GB2312" w:hAnsi="宋体" w:eastAsia="仿宋_GB2312"/>
          <w:sz w:val="32"/>
        </w:rPr>
        <w:t>填报日期：202</w:t>
      </w:r>
      <w:r>
        <w:rPr>
          <w:rStyle w:val="6"/>
          <w:rFonts w:hint="eastAsia" w:ascii="仿宋_GB2312" w:hAnsi="宋体" w:eastAsia="仿宋_GB2312"/>
          <w:sz w:val="32"/>
          <w:lang w:val="en-US" w:eastAsia="zh-CN"/>
        </w:rPr>
        <w:t>3</w:t>
      </w:r>
      <w:r>
        <w:rPr>
          <w:rStyle w:val="6"/>
          <w:rFonts w:ascii="仿宋_GB2312" w:hAnsi="宋体" w:eastAsia="仿宋_GB2312"/>
          <w:sz w:val="32"/>
        </w:rPr>
        <w:t>年</w:t>
      </w:r>
      <w:r>
        <w:rPr>
          <w:rStyle w:val="6"/>
          <w:rFonts w:hint="eastAsia" w:ascii="仿宋_GB2312" w:hAnsi="宋体" w:eastAsia="仿宋_GB2312"/>
          <w:sz w:val="32"/>
          <w:lang w:val="en-US" w:eastAsia="zh-CN"/>
        </w:rPr>
        <w:t>4</w:t>
      </w:r>
      <w:r>
        <w:rPr>
          <w:rStyle w:val="6"/>
          <w:rFonts w:ascii="仿宋_GB2312" w:hAnsi="宋体" w:eastAsia="仿宋_GB2312"/>
          <w:sz w:val="32"/>
        </w:rPr>
        <w:t>月</w:t>
      </w:r>
      <w:r>
        <w:rPr>
          <w:rStyle w:val="6"/>
          <w:rFonts w:hint="eastAsia" w:ascii="仿宋_GB2312" w:hAnsi="宋体" w:eastAsia="仿宋_GB2312"/>
          <w:sz w:val="32"/>
          <w:lang w:val="en-US" w:eastAsia="zh-CN"/>
        </w:rPr>
        <w:t>20</w:t>
      </w:r>
      <w:r>
        <w:rPr>
          <w:rStyle w:val="6"/>
          <w:rFonts w:ascii="仿宋_GB2312" w:hAnsi="宋体" w:eastAsia="仿宋_GB2312"/>
          <w:sz w:val="32"/>
        </w:rPr>
        <w:t>日</w:t>
      </w:r>
    </w:p>
    <w:p>
      <w:pPr>
        <w:ind w:firstLine="1449" w:firstLineChars="453"/>
        <w:rPr>
          <w:rStyle w:val="6"/>
          <w:rFonts w:ascii="仿宋_GB2312" w:hAnsi="宋体" w:eastAsia="仿宋_GB2312"/>
          <w:sz w:val="32"/>
          <w:u w:val="single"/>
        </w:rPr>
      </w:pPr>
    </w:p>
    <w:p>
      <w:pPr>
        <w:spacing w:line="360" w:lineRule="auto"/>
        <w:rPr>
          <w:rStyle w:val="6"/>
          <w:rFonts w:ascii="仿宋_GB2312" w:hAnsi="仿宋_GB2312" w:eastAsia="仿宋_GB2312"/>
          <w:sz w:val="32"/>
          <w:szCs w:val="32"/>
        </w:rPr>
      </w:pPr>
    </w:p>
    <w:p>
      <w:pPr>
        <w:pStyle w:val="10"/>
        <w:spacing w:before="0" w:after="0" w:line="480" w:lineRule="auto"/>
        <w:ind w:firstLine="914" w:firstLineChars="207"/>
        <w:rPr>
          <w:rStyle w:val="6"/>
          <w:rFonts w:hint="eastAsia" w:ascii="Times New Roman" w:hAnsi="微软雅黑"/>
          <w:b/>
          <w:color w:val="333333"/>
          <w:sz w:val="44"/>
          <w:lang w:eastAsia="zh-CN"/>
        </w:rPr>
      </w:pPr>
    </w:p>
    <w:p>
      <w:pPr>
        <w:pStyle w:val="10"/>
        <w:spacing w:before="0" w:after="0" w:line="480" w:lineRule="auto"/>
        <w:ind w:firstLine="914" w:firstLineChars="207"/>
        <w:jc w:val="center"/>
        <w:rPr>
          <w:rStyle w:val="6"/>
          <w:rFonts w:hint="eastAsia" w:ascii="Times New Roman" w:hAnsi="微软雅黑"/>
          <w:b/>
          <w:color w:val="333333"/>
          <w:sz w:val="44"/>
          <w:lang w:eastAsia="zh-CN"/>
        </w:rPr>
      </w:pPr>
      <w:r>
        <w:rPr>
          <w:rStyle w:val="6"/>
          <w:rFonts w:hint="eastAsia" w:ascii="Times New Roman" w:hAnsi="微软雅黑"/>
          <w:b/>
          <w:color w:val="333333"/>
          <w:sz w:val="44"/>
          <w:lang w:eastAsia="zh-CN"/>
        </w:rPr>
        <w:t>曲江区文化馆</w:t>
      </w:r>
      <w:r>
        <w:rPr>
          <w:rStyle w:val="6"/>
          <w:rFonts w:ascii="Times New Roman" w:hAnsi="微软雅黑"/>
          <w:b/>
          <w:color w:val="333333"/>
          <w:sz w:val="44"/>
        </w:rPr>
        <w:t>202</w:t>
      </w:r>
      <w:r>
        <w:rPr>
          <w:rStyle w:val="6"/>
          <w:rFonts w:hint="eastAsia" w:ascii="Times New Roman" w:hAnsi="微软雅黑"/>
          <w:b/>
          <w:color w:val="333333"/>
          <w:sz w:val="44"/>
          <w:lang w:val="en-US" w:eastAsia="zh-CN"/>
        </w:rPr>
        <w:t>2</w:t>
      </w:r>
      <w:r>
        <w:rPr>
          <w:rStyle w:val="6"/>
          <w:rFonts w:ascii="Times New Roman" w:hAnsi="微软雅黑"/>
          <w:b/>
          <w:color w:val="333333"/>
          <w:sz w:val="44"/>
        </w:rPr>
        <w:t>年度</w:t>
      </w:r>
      <w:r>
        <w:rPr>
          <w:rStyle w:val="6"/>
          <w:rFonts w:hint="eastAsia" w:ascii="Times New Roman" w:hAnsi="微软雅黑"/>
          <w:b/>
          <w:color w:val="333333"/>
          <w:sz w:val="44"/>
          <w:lang w:eastAsia="zh-CN"/>
        </w:rPr>
        <w:t>免费开放</w:t>
      </w:r>
    </w:p>
    <w:p>
      <w:pPr>
        <w:pStyle w:val="10"/>
        <w:spacing w:before="0" w:after="0" w:line="480" w:lineRule="auto"/>
        <w:ind w:firstLine="914" w:firstLineChars="207"/>
        <w:jc w:val="center"/>
        <w:rPr>
          <w:rStyle w:val="6"/>
          <w:rFonts w:ascii="Times New Roman" w:hAnsi="微软雅黑"/>
          <w:b/>
          <w:color w:val="333333"/>
          <w:sz w:val="44"/>
        </w:rPr>
      </w:pPr>
      <w:r>
        <w:rPr>
          <w:rStyle w:val="6"/>
          <w:rFonts w:ascii="Times New Roman" w:hAnsi="微软雅黑"/>
          <w:b/>
          <w:color w:val="333333"/>
          <w:sz w:val="44"/>
        </w:rPr>
        <w:t>绩效自评报告</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根据曲江区财政局《关于开展202</w:t>
      </w:r>
      <w:r>
        <w:rPr>
          <w:rStyle w:val="6"/>
          <w:rFonts w:hint="eastAsia" w:ascii="仿宋" w:hAnsi="微软雅黑" w:eastAsia="仿宋"/>
          <w:color w:val="333333"/>
          <w:sz w:val="32"/>
          <w:lang w:val="en-US" w:eastAsia="zh-CN"/>
        </w:rPr>
        <w:t>1</w:t>
      </w:r>
      <w:r>
        <w:rPr>
          <w:rStyle w:val="6"/>
          <w:rFonts w:ascii="仿宋" w:hAnsi="微软雅黑" w:eastAsia="仿宋"/>
          <w:color w:val="333333"/>
          <w:sz w:val="32"/>
        </w:rPr>
        <w:t>年度区级财政支出项目绩效自评工作的的通知》, 我馆对202</w:t>
      </w:r>
      <w:r>
        <w:rPr>
          <w:rStyle w:val="6"/>
          <w:rFonts w:hint="eastAsia" w:ascii="仿宋" w:hAnsi="微软雅黑" w:eastAsia="仿宋"/>
          <w:color w:val="333333"/>
          <w:sz w:val="32"/>
          <w:lang w:val="en-US" w:eastAsia="zh-CN"/>
        </w:rPr>
        <w:t>1</w:t>
      </w:r>
      <w:r>
        <w:rPr>
          <w:rStyle w:val="6"/>
          <w:rFonts w:ascii="仿宋" w:hAnsi="微软雅黑" w:eastAsia="仿宋"/>
          <w:color w:val="333333"/>
          <w:sz w:val="32"/>
        </w:rPr>
        <w:t>年区文化馆运行经费绩效情况进行了全面综合评价。现将项目资金支出绩效自评情况报告如下。</w:t>
      </w:r>
    </w:p>
    <w:p>
      <w:pPr>
        <w:pStyle w:val="10"/>
        <w:numPr>
          <w:ilvl w:val="0"/>
          <w:numId w:val="1"/>
        </w:numPr>
        <w:spacing w:before="0" w:after="0" w:line="480" w:lineRule="auto"/>
        <w:ind w:firstLine="643" w:firstLineChars="200"/>
        <w:jc w:val="both"/>
        <w:rPr>
          <w:rStyle w:val="6"/>
          <w:rFonts w:ascii="仿宋" w:hAnsi="微软雅黑" w:eastAsia="仿宋"/>
          <w:b/>
          <w:color w:val="333333"/>
          <w:sz w:val="32"/>
        </w:rPr>
      </w:pPr>
      <w:r>
        <w:rPr>
          <w:rStyle w:val="6"/>
          <w:rFonts w:ascii="仿宋" w:hAnsi="微软雅黑" w:eastAsia="仿宋"/>
          <w:b/>
          <w:color w:val="333333"/>
          <w:sz w:val="32"/>
        </w:rPr>
        <w:t>基本情况</w:t>
      </w:r>
    </w:p>
    <w:p>
      <w:pPr>
        <w:ind w:firstLine="640" w:firstLineChars="200"/>
        <w:rPr>
          <w:rStyle w:val="6"/>
          <w:rFonts w:ascii="仿宋" w:hAnsi="微软雅黑" w:eastAsia="仿宋"/>
          <w:color w:val="333333"/>
          <w:sz w:val="32"/>
        </w:rPr>
      </w:pPr>
      <w:r>
        <w:rPr>
          <w:rStyle w:val="6"/>
          <w:rFonts w:ascii="仿宋_GB2312" w:hAnsi="仿宋_GB2312" w:eastAsia="仿宋_GB2312"/>
          <w:sz w:val="32"/>
          <w:szCs w:val="32"/>
        </w:rPr>
        <w:t>馆内设有多功能排练厅、非遗展厅、展览长廊、小剧场、美术书法辅导室、业余辅导室、创作策划室、培训室、多媒体室等。2014年12月体制改革，区采茶艺术传承中心并入文化馆，馆设办公室、群文部、非遗保护中心三大部门，在职人员2</w:t>
      </w:r>
      <w:r>
        <w:rPr>
          <w:rStyle w:val="6"/>
          <w:rFonts w:hint="eastAsia" w:ascii="仿宋_GB2312" w:hAnsi="仿宋_GB2312" w:eastAsia="仿宋_GB2312"/>
          <w:sz w:val="32"/>
          <w:szCs w:val="32"/>
          <w:lang w:val="en-US" w:eastAsia="zh-CN"/>
        </w:rPr>
        <w:t>7</w:t>
      </w:r>
      <w:r>
        <w:rPr>
          <w:rStyle w:val="6"/>
          <w:rFonts w:ascii="仿宋_GB2312" w:hAnsi="仿宋_GB2312" w:eastAsia="仿宋_GB2312"/>
          <w:sz w:val="32"/>
          <w:szCs w:val="32"/>
        </w:rPr>
        <w:t>人；其中：具有</w:t>
      </w:r>
      <w:r>
        <w:rPr>
          <w:rStyle w:val="6"/>
          <w:rFonts w:hint="eastAsia" w:ascii="仿宋_GB2312" w:hAnsi="仿宋_GB2312" w:eastAsia="仿宋_GB2312"/>
          <w:sz w:val="32"/>
          <w:szCs w:val="32"/>
          <w:lang w:eastAsia="zh-CN"/>
        </w:rPr>
        <w:t>研究生学历</w:t>
      </w:r>
      <w:r>
        <w:rPr>
          <w:rStyle w:val="6"/>
          <w:rFonts w:hint="eastAsia" w:ascii="仿宋_GB2312" w:hAnsi="仿宋_GB2312" w:eastAsia="仿宋_GB2312"/>
          <w:sz w:val="32"/>
          <w:szCs w:val="32"/>
          <w:lang w:val="en-US" w:eastAsia="zh-CN"/>
        </w:rPr>
        <w:t>1人、</w:t>
      </w:r>
      <w:r>
        <w:rPr>
          <w:rStyle w:val="6"/>
          <w:rFonts w:ascii="仿宋_GB2312" w:hAnsi="仿宋_GB2312" w:eastAsia="仿宋_GB2312"/>
          <w:sz w:val="32"/>
          <w:szCs w:val="32"/>
        </w:rPr>
        <w:t>本科学历</w:t>
      </w:r>
      <w:r>
        <w:rPr>
          <w:rStyle w:val="6"/>
          <w:rFonts w:hint="eastAsia" w:ascii="仿宋_GB2312" w:hAnsi="仿宋_GB2312" w:eastAsia="仿宋_GB2312"/>
          <w:sz w:val="32"/>
          <w:szCs w:val="32"/>
          <w:lang w:val="en-US" w:eastAsia="zh-CN"/>
        </w:rPr>
        <w:t>3</w:t>
      </w:r>
      <w:r>
        <w:rPr>
          <w:rStyle w:val="6"/>
          <w:rFonts w:ascii="仿宋_GB2312" w:hAnsi="仿宋_GB2312" w:eastAsia="仿宋_GB2312"/>
          <w:sz w:val="32"/>
          <w:szCs w:val="32"/>
        </w:rPr>
        <w:t>人；副高级演员1人；中级职称1</w:t>
      </w:r>
      <w:r>
        <w:rPr>
          <w:rStyle w:val="6"/>
          <w:rFonts w:hint="eastAsia" w:ascii="仿宋_GB2312" w:hAnsi="仿宋_GB2312" w:eastAsia="仿宋_GB2312"/>
          <w:sz w:val="32"/>
          <w:szCs w:val="32"/>
          <w:lang w:val="en-US" w:eastAsia="zh-CN"/>
        </w:rPr>
        <w:t>0</w:t>
      </w:r>
      <w:r>
        <w:rPr>
          <w:rStyle w:val="6"/>
          <w:rFonts w:ascii="仿宋_GB2312" w:hAnsi="仿宋_GB2312" w:eastAsia="仿宋_GB2312"/>
          <w:sz w:val="32"/>
          <w:szCs w:val="32"/>
        </w:rPr>
        <w:t>人。初级职称1</w:t>
      </w:r>
      <w:r>
        <w:rPr>
          <w:rStyle w:val="6"/>
          <w:rFonts w:hint="eastAsia" w:ascii="仿宋_GB2312" w:hAnsi="仿宋_GB2312" w:eastAsia="仿宋_GB2312"/>
          <w:sz w:val="32"/>
          <w:szCs w:val="32"/>
          <w:lang w:val="en-US" w:eastAsia="zh-CN"/>
        </w:rPr>
        <w:t>6</w:t>
      </w:r>
      <w:r>
        <w:rPr>
          <w:rStyle w:val="6"/>
          <w:rFonts w:ascii="仿宋_GB2312" w:hAnsi="仿宋_GB2312" w:eastAsia="仿宋_GB2312"/>
          <w:sz w:val="32"/>
          <w:szCs w:val="32"/>
        </w:rPr>
        <w:t>人，2016年被国家文化部评为二级馆。</w:t>
      </w:r>
      <w:r>
        <w:rPr>
          <w:rStyle w:val="6"/>
          <w:rFonts w:hint="eastAsia" w:ascii="仿宋" w:hAnsi="微软雅黑" w:eastAsia="仿宋"/>
          <w:color w:val="333333"/>
          <w:sz w:val="32"/>
          <w:lang w:eastAsia="zh-CN"/>
        </w:rPr>
        <w:t>曲江</w:t>
      </w:r>
      <w:r>
        <w:rPr>
          <w:rStyle w:val="6"/>
          <w:rFonts w:ascii="仿宋" w:hAnsi="微软雅黑" w:eastAsia="仿宋"/>
          <w:color w:val="333333"/>
          <w:sz w:val="32"/>
        </w:rPr>
        <w:t>区文化馆免费开放经费由区财政年度预算安排，项目资金均来源于财政资金。区文化馆免费开放经费10000元。</w:t>
      </w:r>
    </w:p>
    <w:p>
      <w:pPr>
        <w:pStyle w:val="10"/>
        <w:spacing w:before="0" w:after="0" w:line="480" w:lineRule="auto"/>
        <w:ind w:firstLine="803" w:firstLineChars="250"/>
        <w:jc w:val="both"/>
        <w:rPr>
          <w:rStyle w:val="6"/>
          <w:rFonts w:ascii="仿宋" w:hAnsi="微软雅黑" w:eastAsia="仿宋"/>
          <w:b/>
          <w:color w:val="333333"/>
          <w:sz w:val="32"/>
        </w:rPr>
      </w:pPr>
      <w:r>
        <w:rPr>
          <w:rStyle w:val="6"/>
          <w:rFonts w:ascii="仿宋" w:hAnsi="微软雅黑" w:eastAsia="仿宋"/>
          <w:b/>
          <w:color w:val="333333"/>
          <w:sz w:val="32"/>
        </w:rPr>
        <w:t>二、项目资金使用管理情况</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1、严格遵守《会计法》和财经纪律，合理安排预算，建立和完善财务制度。</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2、严格执行报销程序，把好票据审核关，及时付款。</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3、增强责任意识，进一步构筑</w:t>
      </w:r>
      <w:bookmarkStart w:id="0" w:name="_GoBack"/>
      <w:r>
        <w:rPr>
          <w:rStyle w:val="6"/>
          <w:rFonts w:hint="eastAsia" w:ascii="仿宋" w:hAnsi="微软雅黑" w:eastAsia="仿宋"/>
          <w:color w:val="333333"/>
          <w:sz w:val="32"/>
        </w:rPr>
        <w:t>拒</w:t>
      </w:r>
      <w:bookmarkEnd w:id="0"/>
      <w:r>
        <w:rPr>
          <w:rStyle w:val="6"/>
          <w:rFonts w:hint="eastAsia" w:ascii="仿宋" w:hAnsi="微软雅黑" w:eastAsia="仿宋"/>
          <w:color w:val="333333"/>
          <w:sz w:val="32"/>
        </w:rPr>
        <w:t>腐防变</w:t>
      </w:r>
      <w:r>
        <w:rPr>
          <w:rStyle w:val="6"/>
          <w:rFonts w:ascii="仿宋" w:hAnsi="微软雅黑" w:eastAsia="仿宋"/>
          <w:color w:val="333333"/>
          <w:sz w:val="32"/>
        </w:rPr>
        <w:t>防线。</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4、强化效能监察，严格责任追究。</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5、各项开支严格执行中央、省、市、区政府公务接待相关规定。</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6、严格按照有关规定国库集中支付管理、事业单位会计制度规定和财政下达资金的使用范围管理和使用项目经费，做到专款专用，确保资金支出的真实性、安全性、合理性。</w:t>
      </w:r>
    </w:p>
    <w:p>
      <w:pPr>
        <w:pStyle w:val="10"/>
        <w:spacing w:before="0" w:after="0" w:line="480" w:lineRule="auto"/>
        <w:ind w:firstLine="803" w:firstLineChars="250"/>
        <w:jc w:val="both"/>
        <w:rPr>
          <w:rStyle w:val="6"/>
          <w:rFonts w:ascii="仿宋" w:hAnsi="微软雅黑" w:eastAsia="仿宋"/>
          <w:b/>
          <w:color w:val="333333"/>
          <w:sz w:val="32"/>
        </w:rPr>
      </w:pPr>
      <w:r>
        <w:rPr>
          <w:rStyle w:val="6"/>
          <w:rFonts w:ascii="仿宋" w:hAnsi="微软雅黑" w:eastAsia="仿宋"/>
          <w:b/>
          <w:color w:val="333333"/>
          <w:sz w:val="32"/>
        </w:rPr>
        <w:t>三、绩效表现</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1、项目资金实际使用情况</w:t>
      </w:r>
    </w:p>
    <w:p>
      <w:pPr>
        <w:pStyle w:val="10"/>
        <w:spacing w:before="0" w:after="0" w:line="480" w:lineRule="auto"/>
        <w:jc w:val="both"/>
        <w:rPr>
          <w:rStyle w:val="6"/>
          <w:rFonts w:ascii="微软雅黑" w:hAnsi="微软雅黑" w:eastAsia="微软雅黑"/>
          <w:color w:val="333333"/>
        </w:rPr>
      </w:pPr>
      <w:r>
        <w:rPr>
          <w:rStyle w:val="6"/>
          <w:rFonts w:ascii="微软雅黑" w:hAnsi="微软雅黑" w:eastAsia="微软雅黑"/>
          <w:color w:val="333333"/>
        </w:rPr>
        <w:t xml:space="preserve">    </w:t>
      </w:r>
      <w:r>
        <w:rPr>
          <w:rStyle w:val="6"/>
          <w:rFonts w:ascii="仿宋" w:hAnsi="微软雅黑" w:eastAsia="仿宋"/>
          <w:color w:val="333333"/>
          <w:sz w:val="32"/>
        </w:rPr>
        <w:t xml:space="preserve"> 由于疫情原因，资金未使用。</w:t>
      </w:r>
    </w:p>
    <w:p>
      <w:pPr>
        <w:pStyle w:val="10"/>
        <w:spacing w:before="0" w:after="0" w:line="480" w:lineRule="auto"/>
        <w:ind w:firstLine="482" w:firstLineChars="150"/>
        <w:jc w:val="both"/>
        <w:rPr>
          <w:rStyle w:val="6"/>
          <w:rFonts w:ascii="仿宋" w:hAnsi="微软雅黑" w:eastAsia="仿宋"/>
          <w:color w:val="333333"/>
          <w:sz w:val="32"/>
        </w:rPr>
      </w:pPr>
      <w:r>
        <w:rPr>
          <w:rStyle w:val="6"/>
          <w:rFonts w:ascii="仿宋" w:hAnsi="微软雅黑" w:eastAsia="仿宋"/>
          <w:b/>
          <w:color w:val="333333"/>
          <w:sz w:val="32"/>
        </w:rPr>
        <w:t xml:space="preserve"> 四、存在的问题</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1、对于绩效评价的认识不够深入，把预算绩效简单等同于工作目标、工作考核和业务管理。</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2、绩效目标和指标往往根据项目实际完成情况制定，对项目执行过程有效约束不够，存在一定的偏差。</w:t>
      </w:r>
    </w:p>
    <w:p>
      <w:pPr>
        <w:pStyle w:val="10"/>
        <w:spacing w:before="0" w:after="0" w:line="480" w:lineRule="auto"/>
        <w:ind w:firstLine="643" w:firstLineChars="200"/>
        <w:jc w:val="both"/>
        <w:rPr>
          <w:rStyle w:val="6"/>
          <w:rFonts w:ascii="仿宋" w:hAnsi="微软雅黑" w:eastAsia="仿宋"/>
          <w:b/>
          <w:color w:val="333333"/>
          <w:sz w:val="32"/>
        </w:rPr>
      </w:pPr>
      <w:r>
        <w:rPr>
          <w:rStyle w:val="6"/>
          <w:rFonts w:ascii="仿宋" w:hAnsi="微软雅黑" w:eastAsia="仿宋"/>
          <w:b/>
          <w:color w:val="333333"/>
          <w:sz w:val="32"/>
        </w:rPr>
        <w:t>五、整改措施</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1．加强对财政资金拨付和使用的管理。</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2．加强绩效评价管理制度和流程的建设，进一步深化、完善绩效管理体系，建立全过程的预算绩效管理机制，促进绩效管理工作向广度和深度延伸。</w:t>
      </w:r>
    </w:p>
    <w:p>
      <w:pPr>
        <w:pStyle w:val="10"/>
        <w:spacing w:before="0" w:after="0" w:line="480" w:lineRule="auto"/>
        <w:ind w:firstLine="640" w:firstLineChars="200"/>
        <w:jc w:val="both"/>
        <w:rPr>
          <w:rStyle w:val="6"/>
          <w:rFonts w:ascii="仿宋" w:hAnsi="微软雅黑" w:eastAsia="仿宋"/>
          <w:color w:val="333333"/>
          <w:sz w:val="32"/>
        </w:rPr>
      </w:pPr>
      <w:r>
        <w:rPr>
          <w:rStyle w:val="6"/>
          <w:rFonts w:ascii="仿宋" w:hAnsi="微软雅黑" w:eastAsia="仿宋"/>
          <w:color w:val="333333"/>
          <w:sz w:val="32"/>
        </w:rPr>
        <w:t>3．进一步加强会计核算，强化预算管理意识，严格执行预算，确保专款专用。</w:t>
      </w:r>
    </w:p>
    <w:p>
      <w:pPr>
        <w:pStyle w:val="10"/>
        <w:spacing w:before="0" w:after="0" w:line="480" w:lineRule="auto"/>
        <w:ind w:firstLine="4960" w:firstLineChars="1550"/>
        <w:jc w:val="both"/>
        <w:rPr>
          <w:rStyle w:val="6"/>
          <w:rFonts w:ascii="仿宋" w:hAnsi="微软雅黑" w:eastAsia="仿宋"/>
          <w:color w:val="333333"/>
          <w:sz w:val="32"/>
        </w:rPr>
      </w:pPr>
    </w:p>
    <w:p>
      <w:pPr>
        <w:pStyle w:val="10"/>
        <w:spacing w:before="0" w:after="0" w:line="480" w:lineRule="auto"/>
        <w:ind w:firstLine="5440" w:firstLineChars="1700"/>
        <w:jc w:val="both"/>
        <w:rPr>
          <w:rStyle w:val="6"/>
          <w:rFonts w:ascii="仿宋" w:hAnsi="微软雅黑" w:eastAsia="仿宋"/>
          <w:color w:val="333333"/>
          <w:sz w:val="32"/>
        </w:rPr>
      </w:pPr>
    </w:p>
    <w:p>
      <w:pPr>
        <w:pStyle w:val="10"/>
        <w:spacing w:before="0" w:after="0" w:line="480" w:lineRule="auto"/>
        <w:ind w:firstLine="5920" w:firstLineChars="1850"/>
        <w:jc w:val="both"/>
        <w:rPr>
          <w:rStyle w:val="6"/>
          <w:rFonts w:ascii="仿宋" w:hAnsi="微软雅黑" w:eastAsia="仿宋"/>
          <w:color w:val="333333"/>
          <w:sz w:val="32"/>
        </w:rPr>
      </w:pPr>
      <w:r>
        <w:rPr>
          <w:rStyle w:val="6"/>
          <w:rFonts w:ascii="仿宋" w:hAnsi="微软雅黑" w:eastAsia="仿宋"/>
          <w:color w:val="333333"/>
          <w:sz w:val="32"/>
        </w:rPr>
        <w:t>曲江区文化馆</w:t>
      </w:r>
    </w:p>
    <w:p>
      <w:pPr>
        <w:pStyle w:val="10"/>
        <w:spacing w:before="0" w:after="0" w:line="480" w:lineRule="auto"/>
        <w:ind w:firstLine="5760" w:firstLineChars="1800"/>
        <w:jc w:val="both"/>
        <w:rPr>
          <w:rStyle w:val="6"/>
          <w:rFonts w:ascii="仿宋" w:hAnsi="微软雅黑" w:eastAsia="仿宋"/>
          <w:color w:val="333333"/>
          <w:sz w:val="32"/>
        </w:rPr>
      </w:pPr>
      <w:r>
        <w:rPr>
          <w:rStyle w:val="6"/>
          <w:rFonts w:ascii="仿宋" w:hAnsi="微软雅黑" w:eastAsia="仿宋"/>
          <w:color w:val="333333"/>
          <w:sz w:val="32"/>
        </w:rPr>
        <w:t>202</w:t>
      </w:r>
      <w:r>
        <w:rPr>
          <w:rStyle w:val="6"/>
          <w:rFonts w:hint="eastAsia" w:ascii="仿宋" w:hAnsi="微软雅黑" w:eastAsia="仿宋"/>
          <w:color w:val="333333"/>
          <w:sz w:val="32"/>
          <w:lang w:val="en-US" w:eastAsia="zh-CN"/>
        </w:rPr>
        <w:t>3</w:t>
      </w:r>
      <w:r>
        <w:rPr>
          <w:rStyle w:val="6"/>
          <w:rFonts w:ascii="仿宋" w:hAnsi="微软雅黑" w:eastAsia="仿宋"/>
          <w:color w:val="333333"/>
          <w:sz w:val="32"/>
        </w:rPr>
        <w:t>年</w:t>
      </w:r>
      <w:r>
        <w:rPr>
          <w:rStyle w:val="6"/>
          <w:rFonts w:hint="eastAsia" w:ascii="仿宋" w:hAnsi="微软雅黑" w:eastAsia="仿宋"/>
          <w:color w:val="333333"/>
          <w:sz w:val="32"/>
          <w:lang w:val="en-US" w:eastAsia="zh-CN"/>
        </w:rPr>
        <w:t>4</w:t>
      </w:r>
      <w:r>
        <w:rPr>
          <w:rStyle w:val="6"/>
          <w:rFonts w:ascii="仿宋" w:hAnsi="微软雅黑" w:eastAsia="仿宋"/>
          <w:color w:val="333333"/>
          <w:sz w:val="32"/>
        </w:rPr>
        <w:t>月</w:t>
      </w:r>
      <w:r>
        <w:rPr>
          <w:rStyle w:val="6"/>
          <w:rFonts w:hint="eastAsia" w:ascii="仿宋" w:hAnsi="微软雅黑" w:eastAsia="仿宋"/>
          <w:color w:val="333333"/>
          <w:sz w:val="32"/>
          <w:lang w:val="en-US" w:eastAsia="zh-CN"/>
        </w:rPr>
        <w:t>20</w:t>
      </w:r>
      <w:r>
        <w:rPr>
          <w:rStyle w:val="6"/>
          <w:rFonts w:ascii="仿宋" w:hAnsi="微软雅黑" w:eastAsia="仿宋"/>
          <w:color w:val="333333"/>
          <w:sz w:val="32"/>
        </w:rPr>
        <w:t>日</w:t>
      </w:r>
    </w:p>
    <w:p>
      <w:pPr>
        <w:jc w:val="center"/>
        <w:rPr>
          <w:rStyle w:val="6"/>
          <w:rFonts w:eastAsia="仿宋_GB2312"/>
          <w:sz w:val="32"/>
          <w:szCs w:val="32"/>
        </w:rPr>
      </w:pPr>
    </w:p>
    <w:p>
      <w:pPr>
        <w:jc w:val="center"/>
        <w:rPr>
          <w:rStyle w:val="6"/>
          <w:rFonts w:eastAsia="仿宋_GB2312"/>
          <w:sz w:val="32"/>
          <w:szCs w:val="32"/>
        </w:rPr>
      </w:pPr>
    </w:p>
    <w:sectPr>
      <w:footerReference r:id="rId3" w:type="default"/>
      <w:footerReference r:id="rId4" w:type="even"/>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11"/>
      </w:rPr>
    </w:pPr>
  </w:p>
  <w:p>
    <w:pPr>
      <w:pStyle w:val="2"/>
      <w:rPr>
        <w:rStyle w:val="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11"/>
      </w:rPr>
    </w:pPr>
  </w:p>
  <w:p>
    <w:pPr>
      <w:pStyle w:val="2"/>
      <w:rPr>
        <w:rStyle w:val="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79A2DC"/>
    <w:multiLevelType w:val="singleLevel"/>
    <w:tmpl w:val="7679A2DC"/>
    <w:lvl w:ilvl="0" w:tentative="0">
      <w:start w:val="1"/>
      <w:numFmt w:val="chineseCounting"/>
      <w:suff w:val="nothing"/>
      <w:lvlText w:val="%1、"/>
      <w:lvlJc w:val="left"/>
      <w:pPr>
        <w:widowControl/>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docVars>
    <w:docVar w:name="commondata" w:val="eyJoZGlkIjoiNTNkODI3MTY2MjJlZTg5NDA4NThmZmNjN2IxMTc5MDIifQ=="/>
  </w:docVars>
  <w:rsids>
    <w:rsidRoot w:val="00F07A52"/>
    <w:rsid w:val="008B21E5"/>
    <w:rsid w:val="00D37B05"/>
    <w:rsid w:val="00F07A52"/>
    <w:rsid w:val="20A25C46"/>
    <w:rsid w:val="2B911D00"/>
    <w:rsid w:val="2EB47D86"/>
    <w:rsid w:val="3A262B90"/>
    <w:rsid w:val="3C447613"/>
    <w:rsid w:val="415F63FD"/>
    <w:rsid w:val="501574C4"/>
    <w:rsid w:val="64D27403"/>
    <w:rsid w:val="673309CB"/>
    <w:rsid w:val="75044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heme="minorBidi"/>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000000" w:sz="6" w:space="1"/>
      </w:pBdr>
      <w:tabs>
        <w:tab w:val="center" w:pos="4153"/>
        <w:tab w:val="right" w:pos="8306"/>
      </w:tabs>
      <w:snapToGrid w:val="0"/>
      <w:jc w:val="center"/>
    </w:pPr>
    <w:rPr>
      <w:sz w:val="18"/>
      <w:szCs w:val="18"/>
    </w:rPr>
  </w:style>
  <w:style w:type="character" w:customStyle="1" w:styleId="6">
    <w:name w:val="NormalCharacter"/>
    <w:qFormat/>
    <w:uiPriority w:val="0"/>
  </w:style>
  <w:style w:type="table" w:customStyle="1" w:styleId="7">
    <w:name w:val="TableNormal"/>
    <w:qFormat/>
    <w:uiPriority w:val="0"/>
    <w:tblPr>
      <w:tblCellMar>
        <w:top w:w="0" w:type="dxa"/>
        <w:left w:w="0" w:type="dxa"/>
        <w:bottom w:w="0" w:type="dxa"/>
        <w:right w:w="0" w:type="dxa"/>
      </w:tblCellMar>
    </w:tblPr>
  </w:style>
  <w:style w:type="character" w:customStyle="1" w:styleId="8">
    <w:name w:val="页脚 Char"/>
    <w:basedOn w:val="6"/>
    <w:link w:val="2"/>
    <w:semiHidden/>
    <w:qFormat/>
    <w:uiPriority w:val="0"/>
    <w:rPr>
      <w:rFonts w:ascii="Times New Roman" w:hAnsi="Times New Roman" w:eastAsia="宋体"/>
      <w:sz w:val="18"/>
      <w:szCs w:val="18"/>
    </w:rPr>
  </w:style>
  <w:style w:type="character" w:customStyle="1" w:styleId="9">
    <w:name w:val="页眉 Char"/>
    <w:basedOn w:val="6"/>
    <w:link w:val="3"/>
    <w:semiHidden/>
    <w:qFormat/>
    <w:uiPriority w:val="0"/>
    <w:rPr>
      <w:rFonts w:ascii="Times New Roman" w:hAnsi="Times New Roman" w:eastAsia="宋体"/>
      <w:sz w:val="18"/>
      <w:szCs w:val="18"/>
    </w:rPr>
  </w:style>
  <w:style w:type="paragraph" w:customStyle="1" w:styleId="10">
    <w:name w:val="HtmlNormal"/>
    <w:basedOn w:val="1"/>
    <w:qFormat/>
    <w:uiPriority w:val="0"/>
    <w:pPr>
      <w:spacing w:before="100" w:beforeAutospacing="1" w:after="100" w:afterAutospacing="1"/>
      <w:jc w:val="left"/>
    </w:pPr>
    <w:rPr>
      <w:rFonts w:ascii="宋体" w:hAnsi="宋体"/>
      <w:kern w:val="0"/>
      <w:sz w:val="24"/>
      <w:szCs w:val="24"/>
    </w:rPr>
  </w:style>
  <w:style w:type="character" w:customStyle="1" w:styleId="11">
    <w:name w:val="Page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864</Words>
  <Characters>907</Characters>
  <Lines>6</Lines>
  <Paragraphs>1</Paragraphs>
  <TotalTime>0</TotalTime>
  <ScaleCrop>false</ScaleCrop>
  <LinksUpToDate>false</LinksUpToDate>
  <CharactersWithSpaces>928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2021-04-07T02:09:00Z</dcterms:created>
  <dc:creator>Administrator</dc:creator>
  <cp:lastModifiedBy>曹海弘</cp:lastModifiedBy>
  <dcterms:modified xsi:type="dcterms:W3CDTF">2024-06-28T03:29:26Z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CE4E2D3FAB784D5194D9107A76BED5C9</vt:lpwstr>
  </property>
</Properties>
</file>