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宋体" w:hAnsi="宋体" w:eastAsia="黑体"/>
          <w:b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32"/>
        </w:rPr>
        <w:t>附件6</w:t>
      </w:r>
    </w:p>
    <w:p>
      <w:pPr>
        <w:jc w:val="center"/>
        <w:outlineLvl w:val="0"/>
        <w:rPr>
          <w:rFonts w:ascii="方正小标宋简体" w:hAnsi="宋体" w:eastAsia="方正小标宋简体"/>
          <w:b/>
          <w:bCs/>
          <w:sz w:val="52"/>
          <w:szCs w:val="52"/>
        </w:rPr>
      </w:pPr>
      <w:r>
        <w:rPr>
          <w:rFonts w:hint="eastAsia" w:ascii="方正小标宋简体" w:hAnsi="宋体" w:eastAsia="方正小标宋简体"/>
          <w:b/>
          <w:bCs/>
          <w:sz w:val="52"/>
          <w:szCs w:val="52"/>
        </w:rPr>
        <w:t>曲江区绩效自评报告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（202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宋体" w:eastAsia="仿宋_GB2312"/>
          <w:sz w:val="32"/>
          <w:szCs w:val="32"/>
        </w:rPr>
        <w:t>年度）</w:t>
      </w:r>
    </w:p>
    <w:p>
      <w:pPr>
        <w:jc w:val="center"/>
        <w:rPr>
          <w:rFonts w:ascii="仿宋_GB2312" w:hAnsi="宋体" w:eastAsia="仿宋_GB2312"/>
          <w:sz w:val="32"/>
          <w:szCs w:val="32"/>
        </w:rPr>
      </w:pP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评价类型： 项目实施过程评价 </w:t>
      </w:r>
      <w:r>
        <w:rPr>
          <w:rFonts w:hint="eastAsia" w:ascii="仿宋_GB2312" w:hAnsi="宋体" w:eastAsia="仿宋_GB2312"/>
          <w:sz w:val="32"/>
        </w:rPr>
        <w:sym w:font="Wingdings 2" w:char="0052"/>
      </w:r>
    </w:p>
    <w:p>
      <w:pPr>
        <w:spacing w:line="720" w:lineRule="auto"/>
        <w:ind w:firstLine="1440" w:firstLineChars="45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 xml:space="preserve">           项目完成结果评价 </w:t>
      </w:r>
      <w:r>
        <w:rPr>
          <w:rFonts w:hint="eastAsia" w:ascii="仿宋_GB2312" w:hAnsi="宋体" w:eastAsia="仿宋_GB2312"/>
          <w:sz w:val="32"/>
        </w:rPr>
        <w:sym w:font="Wingdings 2" w:char="00A3"/>
      </w:r>
    </w:p>
    <w:p>
      <w:pPr>
        <w:spacing w:beforeLines="100" w:afterLines="100" w:line="1000" w:lineRule="exact"/>
        <w:ind w:firstLine="1440" w:firstLineChars="450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项目名称：购买应急装备项目经费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项目单位：（公章）韶关市曲江区应急管理局</w:t>
      </w:r>
    </w:p>
    <w:p>
      <w:pPr>
        <w:spacing w:beforeLines="100" w:afterLines="100" w:line="1000" w:lineRule="exact"/>
        <w:ind w:firstLine="1449" w:firstLineChars="453"/>
        <w:rPr>
          <w:rFonts w:hint="eastAsia" w:ascii="仿宋_GB2312" w:hAnsi="宋体" w:eastAsia="仿宋_GB2312"/>
          <w:sz w:val="32"/>
          <w:lang w:eastAsia="zh-CN"/>
        </w:rPr>
      </w:pPr>
      <w:r>
        <w:rPr>
          <w:rFonts w:hint="eastAsia" w:ascii="仿宋_GB2312" w:hAnsi="宋体" w:eastAsia="仿宋_GB2312"/>
          <w:sz w:val="32"/>
        </w:rPr>
        <w:t>填报人姓名：</w:t>
      </w:r>
      <w:r>
        <w:rPr>
          <w:rFonts w:hint="eastAsia" w:ascii="仿宋_GB2312" w:hAnsi="宋体" w:eastAsia="仿宋_GB2312"/>
          <w:sz w:val="32"/>
          <w:lang w:eastAsia="zh-CN"/>
        </w:rPr>
        <w:t>朱韶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联系电话：6667726</w:t>
      </w:r>
    </w:p>
    <w:p>
      <w:pPr>
        <w:spacing w:beforeLines="100" w:afterLines="100" w:line="1000" w:lineRule="exact"/>
        <w:ind w:firstLine="1449" w:firstLineChars="453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填报日期：202</w:t>
      </w:r>
      <w:r>
        <w:rPr>
          <w:rFonts w:hint="eastAsia" w:ascii="仿宋_GB2312" w:hAnsi="宋体" w:eastAsia="仿宋_GB2312"/>
          <w:sz w:val="32"/>
          <w:lang w:val="en-US" w:eastAsia="zh-CN"/>
        </w:rPr>
        <w:t>3</w:t>
      </w:r>
      <w:r>
        <w:rPr>
          <w:rFonts w:hint="eastAsia" w:ascii="仿宋_GB2312" w:hAnsi="宋体" w:eastAsia="仿宋_GB2312"/>
          <w:sz w:val="32"/>
        </w:rPr>
        <w:t>年3月25日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曲江区购买应急装备项目经费</w:t>
      </w:r>
    </w:p>
    <w:p>
      <w:pPr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绩效评价报告</w:t>
      </w:r>
    </w:p>
    <w:p>
      <w:pPr>
        <w:spacing w:line="360" w:lineRule="auto"/>
        <w:rPr>
          <w:rFonts w:ascii="仿宋_GB2312" w:hAnsi="仿宋_GB2312" w:eastAsia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一、项目基本情况及自评结论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根据应急管理部《关于做好应急管理综合行政执法制式服装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和标志管理工作的通知》（应急〔2021〕33号）和财政部、司法部《综合行政执法制式服装和标志管理办法》（财行〔2020〕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299号，以下简称《管理办法》，附件1）等要求，省应急管理厅委托广东省政府采购中心采取公开招标方式，确定了2家中标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单位。依据招标文件规定，际华三五零六纺织服装有限公司（以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下简称“际华公司”）负责“除冬季执勤服外的全部服装类、帽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类、标志类”的量体、生产、运输等工作；广东省花城服装有限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公司（以下简称“花城公司”）负责“冬季执勤服、鞋类”的量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体、生产、运输等工作。202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年，我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局向区政府申请追加购买应急装备项目经费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为20万元，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共使用199974.99元，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实际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支出12563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元，使用率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6.28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%，专项资金主要用以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购置25名执法人员的春季、夏季、冬季执法服装及标识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执法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设备等的支出。专项资金的使用有效保证了我局安全生产执法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检查、年度安全生产考核等一系列安全生产工作。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right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我局执法人员穿戴新配置的执法服装及执法装备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对全区危险化学品、冶金工贸、烟花爆竹、建筑、交通等重点行业领域进行专项整治。全年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全区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区共检查发现一般隐患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2107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处，整改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2012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处，行政处罚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556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家（次），行政罚款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130.71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以上工作的开展极大促进了我区安全生产形势稳定，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提升我局执法人员整体素质和形象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，为曲江的经济发展提供了强大的支撑。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绩效表现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分析资金使用情况。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 xml:space="preserve">    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年我局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申请专项费用200000元，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共使用购买应急装备项目经费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199974.99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元，主要包括：采购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25人的制式春秋装、夏装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执法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服装以及服装附件标识费用80598.992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元，占比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40.3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%；采购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25人的制式冬装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执法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服装57381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元，占比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28.69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%；安全生产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执法装备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执法记录仪、气体检测仪、测距仪、打印机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等）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61995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元，占比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%。以上经费的使用都遵循着经济高效、透明公开的原则，在使用过程中严格遵照采购程序、监督程序、审批程序、验收程序开展，每笔费用都有详细的票据等佐证材料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目前已支出费用12563元，其余款项已向区财政局申请支付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项目的绩效目标完成情况（经济、政治和社会效益）。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一）目标任务量完成情况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494949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494949"/>
          <w:spacing w:val="0"/>
          <w:sz w:val="32"/>
          <w:szCs w:val="32"/>
          <w:shd w:val="clear" w:fill="FFFFFF"/>
        </w:rPr>
        <w:t>数量指标上：全年完成单位2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494949"/>
          <w:spacing w:val="0"/>
          <w:sz w:val="32"/>
          <w:szCs w:val="32"/>
          <w:shd w:val="clear" w:fill="FFFFFF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494949"/>
          <w:spacing w:val="0"/>
          <w:sz w:val="32"/>
          <w:szCs w:val="32"/>
          <w:shd w:val="clear" w:fill="FFFFFF"/>
        </w:rPr>
        <w:t>名行政执法人员标准制式服装和标志的配发。质量指标上：百分之百完成。时效指标上:202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494949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494949"/>
          <w:spacing w:val="0"/>
          <w:sz w:val="32"/>
          <w:szCs w:val="32"/>
          <w:shd w:val="clear" w:fill="FFFFFF"/>
        </w:rPr>
        <w:t>年12月31日前全面完成配发工作。成本指标上：标准制式服装和标志成本性支出，按男女不同定额标准配发。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（二）目标质量完成情况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所采购的服装按照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应急管理部《关于做好应急管理综合行政执法制式服装和标志管理工作的通知》（应急〔2021〕33号）和财政部、司法部《综合行政执法制式服装和标志管理办法》（财行〔2020〕299号，以下简称《管理办法》，附件1）等要求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执行。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leftChars="0" w:right="0" w:firstLine="42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（三）目标进度完成情况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本项目于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2022年3月由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省应急管理厅委托广东省政府采购中心采取公开招标方式，确定了2家中标单位。依据招标文件规定，际华三五零六纺织服装有限公司（以下简称“际华公司”）负责“除冬季执勤服外的全部服装类、帽类、标志类”的量体、生产、运输等工作；广东省花城服装有限公司（以下简称“花城公司”）负责“冬季执勤服、鞋类”的量体、生产、运输等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四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取得成效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color w:val="FF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购买应急装备项目经费主要用于我局安全生产工作提供必要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协助开展检查工作的装备和执法人员的执法服装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，主要用于保障执法装备、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执法人员的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办公设备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执法人员执法服装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等，保障和提高我局安全生产执法检查质量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树立检查人员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。202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年，结合本局监管行业情况，开展危险化学品、非煤矿山、钢铁行业、有限空间作业、粉尘涉爆、印染工艺企业等专项执法检查，共检查企业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217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家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，发出《责令限期整改指令》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168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份、《现场处理措施决定书》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份。共排查隐患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367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处、应整改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367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处，作出行政处罚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次，经济行政罚款人民币1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万元。有效消除了一系列生产安全事故隐患。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年，我局充分、合理、合规利用安全生产专项资金保障了安全生产执法检查、安全生产考核等多项任务，达到了资金设立的目的，完成了上级文件要求和领导指示任务。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全区安全生产态势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稳定情况有效提升，群众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和企业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对执法工作满意度≥9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%。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产生的效益，以及对环境、经济、社会的可持续影响。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2022年，发生安全事故26起，死亡16人，受伤13人，直接经济损失552.85万，死亡人数同上年度持平，事故起数、受伤人数、直接经济损失同比上年度分别下降29.73%、56.67%、21.13%。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（二）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存在问题。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由于受疫情影响、曲江经济增速缓慢，造成曲江财政财力不济，该项目验收完毕后至今，实际支出费用12563元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，占项目费用6.28%，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建议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区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财政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局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iCs w:val="0"/>
          <w:caps w:val="0"/>
          <w:color w:val="333333"/>
          <w:spacing w:val="0"/>
          <w:sz w:val="32"/>
          <w:szCs w:val="32"/>
        </w:rPr>
        <w:t>及时拨付项目经费，简化并缩短申批时间。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三、整改措施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今后，强化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我局财政人员与区财政局的工作对接，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对于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装备和执法服装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的采购应更加有计划，逐渐淘汰、更新和增加，避免出现集中在一年采购，增加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区财政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压力。</w:t>
      </w:r>
    </w:p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D7A02"/>
    <w:multiLevelType w:val="singleLevel"/>
    <w:tmpl w:val="0D3D7A02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48F46144"/>
    <w:multiLevelType w:val="singleLevel"/>
    <w:tmpl w:val="48F4614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6CE"/>
    <w:rsid w:val="001656CE"/>
    <w:rsid w:val="001A257E"/>
    <w:rsid w:val="003A21D6"/>
    <w:rsid w:val="003B41D7"/>
    <w:rsid w:val="00467490"/>
    <w:rsid w:val="00507F84"/>
    <w:rsid w:val="00570865"/>
    <w:rsid w:val="005B6542"/>
    <w:rsid w:val="005F070C"/>
    <w:rsid w:val="00634C30"/>
    <w:rsid w:val="00650DB1"/>
    <w:rsid w:val="006A2DDC"/>
    <w:rsid w:val="006F159E"/>
    <w:rsid w:val="009B4204"/>
    <w:rsid w:val="009F3B00"/>
    <w:rsid w:val="00A62612"/>
    <w:rsid w:val="00B23D49"/>
    <w:rsid w:val="00E0581D"/>
    <w:rsid w:val="00E14076"/>
    <w:rsid w:val="00F64C16"/>
    <w:rsid w:val="00FA60D1"/>
    <w:rsid w:val="032A2991"/>
    <w:rsid w:val="0E126829"/>
    <w:rsid w:val="115F0D75"/>
    <w:rsid w:val="124B210D"/>
    <w:rsid w:val="15D31197"/>
    <w:rsid w:val="188A34D7"/>
    <w:rsid w:val="1A0F691C"/>
    <w:rsid w:val="21946F0F"/>
    <w:rsid w:val="25F84876"/>
    <w:rsid w:val="29F333EC"/>
    <w:rsid w:val="2B6F1E61"/>
    <w:rsid w:val="2B977383"/>
    <w:rsid w:val="2F05024E"/>
    <w:rsid w:val="2FB843D6"/>
    <w:rsid w:val="32756EC5"/>
    <w:rsid w:val="3551191B"/>
    <w:rsid w:val="366B4512"/>
    <w:rsid w:val="38E033FA"/>
    <w:rsid w:val="396863E7"/>
    <w:rsid w:val="3D017CC9"/>
    <w:rsid w:val="3EB14DD9"/>
    <w:rsid w:val="3F282621"/>
    <w:rsid w:val="41921744"/>
    <w:rsid w:val="41E65490"/>
    <w:rsid w:val="429A6B13"/>
    <w:rsid w:val="42C57F28"/>
    <w:rsid w:val="43971997"/>
    <w:rsid w:val="45ED5574"/>
    <w:rsid w:val="48DD76A4"/>
    <w:rsid w:val="4CD76E1A"/>
    <w:rsid w:val="51661C45"/>
    <w:rsid w:val="52470BE2"/>
    <w:rsid w:val="53B94568"/>
    <w:rsid w:val="547E030F"/>
    <w:rsid w:val="564E4FAC"/>
    <w:rsid w:val="57805B9A"/>
    <w:rsid w:val="57883CD6"/>
    <w:rsid w:val="5A402530"/>
    <w:rsid w:val="5B84025F"/>
    <w:rsid w:val="5C9C4BE6"/>
    <w:rsid w:val="5CAA6D01"/>
    <w:rsid w:val="5D5C04AB"/>
    <w:rsid w:val="5FD839E1"/>
    <w:rsid w:val="60B13972"/>
    <w:rsid w:val="60C66560"/>
    <w:rsid w:val="633240A4"/>
    <w:rsid w:val="65CE73A1"/>
    <w:rsid w:val="669F2EBA"/>
    <w:rsid w:val="673E6858"/>
    <w:rsid w:val="695021FA"/>
    <w:rsid w:val="6C4E4249"/>
    <w:rsid w:val="6E506797"/>
    <w:rsid w:val="725744DB"/>
    <w:rsid w:val="7446505B"/>
    <w:rsid w:val="75621E7E"/>
    <w:rsid w:val="767B51B6"/>
    <w:rsid w:val="77624AC8"/>
    <w:rsid w:val="7A841738"/>
    <w:rsid w:val="7A9828C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pacing w:val="0"/>
      <w:sz w:val="21"/>
      <w:szCs w:val="21"/>
    </w:rPr>
  </w:style>
  <w:style w:type="paragraph" w:styleId="4">
    <w:name w:val="foot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9">
    <w:name w:val="页眉 Char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251</Words>
  <Characters>1437</Characters>
  <Lines>11</Lines>
  <Paragraphs>3</Paragraphs>
  <TotalTime>33</TotalTime>
  <ScaleCrop>false</ScaleCrop>
  <LinksUpToDate>false</LinksUpToDate>
  <CharactersWithSpaces>1685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2023-04-17T09:58:59Z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EEABF75D5EA94285B52E2FD4A577F849</vt:lpwstr>
  </property>
</Properties>
</file>