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韶关市曲江区人力资源和社会保障局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主动公开基本目录</w:t>
      </w:r>
      <w:bookmarkStart w:id="0" w:name="_Toc492567860"/>
      <w:bookmarkEnd w:id="0"/>
      <w:bookmarkStart w:id="1" w:name="_Toc8074"/>
      <w:bookmarkEnd w:id="1"/>
      <w:bookmarkStart w:id="2" w:name="_Toc2349"/>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center"/>
        <w:textAlignment w:val="auto"/>
        <w:outlineLvl w:val="9"/>
        <w:rPr>
          <w:rFonts w:hint="eastAsia" w:ascii="黑体" w:hAnsi="黑体" w:eastAsia="黑体" w:cs="黑体"/>
        </w:rPr>
      </w:pPr>
      <w:r>
        <w:rPr>
          <w:rFonts w:hint="eastAsia" w:ascii="黑体" w:hAnsi="黑体" w:eastAsia="黑体" w:cs="黑体"/>
        </w:rPr>
        <w:t>第一部分</w:t>
      </w:r>
      <w:r>
        <w:rPr>
          <w:rFonts w:hint="eastAsia" w:ascii="黑体" w:hAnsi="黑体" w:eastAsia="黑体" w:cs="黑体"/>
          <w:lang w:val="en-US" w:eastAsia="zh-CN"/>
        </w:rPr>
        <w:t xml:space="preserve"> </w:t>
      </w:r>
      <w:r>
        <w:rPr>
          <w:rFonts w:hint="eastAsia" w:ascii="黑体" w:hAnsi="黑体" w:eastAsia="黑体" w:cs="黑体"/>
        </w:rPr>
        <w:t>概述</w:t>
      </w:r>
      <w:bookmarkEnd w:id="2"/>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outlineLvl w:val="9"/>
        <w:rPr>
          <w:rFonts w:hint="eastAsia" w:ascii="楷体_GB2312" w:hAnsi="楷体_GB2312" w:eastAsia="楷体_GB2312" w:cs="楷体_GB2312"/>
          <w:b/>
          <w:bCs/>
        </w:rPr>
      </w:pPr>
      <w:r>
        <w:rPr>
          <w:rFonts w:hint="eastAsia" w:ascii="楷体_GB2312" w:hAnsi="楷体_GB2312" w:eastAsia="楷体_GB2312" w:cs="楷体_GB2312"/>
          <w:b/>
          <w:bCs/>
          <w:lang w:val="en-US" w:eastAsia="zh-CN"/>
        </w:rPr>
        <w:t>一、</w:t>
      </w:r>
      <w:r>
        <w:rPr>
          <w:rFonts w:hint="eastAsia" w:ascii="楷体_GB2312" w:hAnsi="楷体_GB2312" w:eastAsia="楷体_GB2312" w:cs="楷体_GB2312"/>
          <w:b/>
          <w:bCs/>
        </w:rPr>
        <w:t>主要依据</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outlineLvl w:val="9"/>
        <w:rPr>
          <w:rFonts w:hint="default"/>
        </w:rPr>
      </w:pPr>
      <w:r>
        <w:rPr>
          <w:rFonts w:hint="default"/>
        </w:rPr>
        <w:t>1.《中华人民共和国政府信息公开条例》(国务院令第711号)</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outlineLvl w:val="9"/>
        <w:rPr>
          <w:rFonts w:hint="default"/>
        </w:rPr>
      </w:pPr>
      <w:r>
        <w:rPr>
          <w:rFonts w:hint="default"/>
        </w:rPr>
        <w:t>2.中共中央办公厅、国务院办公厅《关于全面推进政务公开工作的意见》（中办发〔2016〕8号）</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outlineLvl w:val="9"/>
        <w:rPr>
          <w:rFonts w:hint="default"/>
        </w:rPr>
      </w:pPr>
      <w:r>
        <w:rPr>
          <w:rFonts w:hint="default"/>
        </w:rPr>
        <w:t>3.《国务院办公厅印发&lt;关于全面推进政务公开工作的意见&gt;实施细则的通知》（国办发〔2016〕80号）</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outlineLvl w:val="9"/>
        <w:rPr>
          <w:rFonts w:hint="default"/>
        </w:rPr>
      </w:pPr>
      <w:r>
        <w:rPr>
          <w:rFonts w:hint="default"/>
        </w:rPr>
        <w:t>4.《人力资源社会保障部办公厅关于全面推进政务公开工作的实施意见》（人社厅发〔2017〕21号）</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outlineLvl w:val="9"/>
        <w:rPr>
          <w:rFonts w:hint="default"/>
        </w:rPr>
      </w:pPr>
      <w:r>
        <w:rPr>
          <w:rFonts w:hint="default"/>
        </w:rPr>
        <w:t>5.《广东省政府办公厅关于印发省级部门主动公开基本目录编制工作方案的通知》（粤办函〔2019〕142号）</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outlineLvl w:val="9"/>
        <w:rPr>
          <w:rFonts w:hint="default"/>
        </w:rPr>
      </w:pPr>
      <w:r>
        <w:rPr>
          <w:rFonts w:hint="default"/>
        </w:rPr>
        <w:t>6.《广东省人民政府办公厅关于进一步推进省市县三级主动公开基本目录编制发布工作的通知》（粤办函〔2021〕255号）</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outlineLvl w:val="9"/>
        <w:rPr>
          <w:rFonts w:hint="default" w:ascii="楷体_GB2312" w:hAnsi="楷体_GB2312" w:eastAsia="楷体_GB2312" w:cs="楷体_GB2312"/>
          <w:b/>
          <w:bCs/>
          <w:lang w:val="en-US" w:eastAsia="zh-CN"/>
        </w:rPr>
      </w:pPr>
      <w:r>
        <w:rPr>
          <w:rFonts w:hint="default" w:ascii="楷体_GB2312" w:hAnsi="楷体_GB2312" w:eastAsia="楷体_GB2312" w:cs="楷体_GB2312"/>
          <w:b/>
          <w:bCs/>
          <w:lang w:val="en-US" w:eastAsia="zh-CN"/>
        </w:rPr>
        <w:t>二、责任主体、公开时限、方式和监督渠道</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outlineLvl w:val="9"/>
        <w:rPr>
          <w:rFonts w:hint="default" w:eastAsia="仿宋_GB2312"/>
          <w:lang w:val="en-US" w:eastAsia="zh-CN"/>
        </w:rPr>
      </w:pPr>
      <w:r>
        <w:rPr>
          <w:rFonts w:hint="default"/>
        </w:rPr>
        <w:t>【责任主体】</w:t>
      </w:r>
      <w:r>
        <w:rPr>
          <w:rFonts w:hint="eastAsia"/>
          <w:lang w:val="en-US" w:eastAsia="zh-CN"/>
        </w:rPr>
        <w:t>韶关市曲江区人力资源和社会保障局</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outlineLvl w:val="9"/>
        <w:rPr>
          <w:rFonts w:hint="default"/>
        </w:rPr>
      </w:pPr>
      <w:r>
        <w:rPr>
          <w:rFonts w:hint="default"/>
        </w:rPr>
        <w:t>【公开时限】政府信息形成或者变更之日起20个工作日内（法律法规对政府信息公开的期限另有规定的从其规定）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outlineLvl w:val="9"/>
        <w:rPr>
          <w:rFonts w:hint="default"/>
        </w:rPr>
      </w:pPr>
      <w:r>
        <w:rPr>
          <w:rFonts w:hint="default"/>
        </w:rPr>
        <w:t>【公开方式】政府网站、政务新媒体等</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outlineLvl w:val="9"/>
        <w:rPr>
          <w:rFonts w:hint="default"/>
        </w:rPr>
      </w:pPr>
      <w:r>
        <w:rPr>
          <w:rFonts w:hint="default"/>
        </w:rPr>
        <w:t>【监督渠道】通过电话（</w:t>
      </w:r>
      <w:r>
        <w:rPr>
          <w:rFonts w:hint="eastAsia"/>
          <w:lang w:val="en-US" w:eastAsia="zh-CN"/>
        </w:rPr>
        <w:t>0751-6696166</w:t>
      </w:r>
      <w:r>
        <w:rPr>
          <w:rFonts w:hint="default"/>
        </w:rPr>
        <w:t>）方式监督。</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outlineLvl w:val="9"/>
        <w:rPr>
          <w:rFonts w:hint="default" w:ascii="黑体" w:hAnsi="黑体" w:eastAsia="黑体" w:cs="黑体"/>
        </w:rPr>
      </w:pPr>
      <w:r>
        <w:rPr>
          <w:rFonts w:hint="default" w:ascii="黑体" w:hAnsi="黑体" w:eastAsia="黑体" w:cs="黑体"/>
        </w:rPr>
        <w:t>第二部分 主动公开基本目录</w:t>
      </w:r>
    </w:p>
    <w:tbl>
      <w:tblPr>
        <w:tblStyle w:val="4"/>
        <w:tblW w:w="11338"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66"/>
        <w:gridCol w:w="1365"/>
        <w:gridCol w:w="2177"/>
        <w:gridCol w:w="5422"/>
        <w:gridCol w:w="150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86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序号</w:t>
            </w:r>
          </w:p>
        </w:tc>
        <w:tc>
          <w:tcPr>
            <w:tcW w:w="3542" w:type="dxa"/>
            <w:gridSpan w:val="2"/>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公开类别及事项</w:t>
            </w:r>
          </w:p>
        </w:tc>
        <w:tc>
          <w:tcPr>
            <w:tcW w:w="5422"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公开内容</w:t>
            </w:r>
          </w:p>
        </w:tc>
        <w:tc>
          <w:tcPr>
            <w:tcW w:w="1508"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公开责任单位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86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rPr>
            </w:pPr>
          </w:p>
        </w:tc>
        <w:tc>
          <w:tcPr>
            <w:tcW w:w="136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一级</w:t>
            </w:r>
          </w:p>
        </w:tc>
        <w:tc>
          <w:tcPr>
            <w:tcW w:w="2177"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二级</w:t>
            </w:r>
          </w:p>
        </w:tc>
        <w:tc>
          <w:tcPr>
            <w:tcW w:w="5422"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rPr>
            </w:pPr>
          </w:p>
        </w:tc>
        <w:tc>
          <w:tcPr>
            <w:tcW w:w="150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866" w:type="dxa"/>
            <w:vMerge w:val="restart"/>
            <w:tcBorders>
              <w:top w:val="single" w:color="000000" w:sz="6" w:space="0"/>
              <w:left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1</w:t>
            </w:r>
          </w:p>
        </w:tc>
        <w:tc>
          <w:tcPr>
            <w:tcW w:w="1365" w:type="dxa"/>
            <w:vMerge w:val="restart"/>
            <w:tcBorders>
              <w:top w:val="single" w:color="000000" w:sz="6" w:space="0"/>
              <w:left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机构职能</w:t>
            </w:r>
          </w:p>
        </w:tc>
        <w:tc>
          <w:tcPr>
            <w:tcW w:w="2177"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机构职能</w:t>
            </w:r>
          </w:p>
        </w:tc>
        <w:tc>
          <w:tcPr>
            <w:tcW w:w="5422"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局主要职责介绍</w:t>
            </w:r>
          </w:p>
        </w:tc>
        <w:tc>
          <w:tcPr>
            <w:tcW w:w="1508"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人事股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66" w:type="dxa"/>
            <w:vMerge w:val="continue"/>
            <w:tcBorders>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rPr>
            </w:pPr>
          </w:p>
        </w:tc>
        <w:tc>
          <w:tcPr>
            <w:tcW w:w="136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rPr>
            </w:pPr>
          </w:p>
        </w:tc>
        <w:tc>
          <w:tcPr>
            <w:tcW w:w="2177"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领导介绍</w:t>
            </w:r>
          </w:p>
        </w:tc>
        <w:tc>
          <w:tcPr>
            <w:tcW w:w="5422"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局领导简介、工作分工等</w:t>
            </w:r>
          </w:p>
        </w:tc>
        <w:tc>
          <w:tcPr>
            <w:tcW w:w="1508"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人事股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866" w:type="dxa"/>
            <w:vMerge w:val="restart"/>
            <w:tcBorders>
              <w:top w:val="single" w:color="000000" w:sz="6" w:space="0"/>
              <w:left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2</w:t>
            </w:r>
          </w:p>
        </w:tc>
        <w:tc>
          <w:tcPr>
            <w:tcW w:w="1365"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规章文件</w:t>
            </w:r>
          </w:p>
        </w:tc>
        <w:tc>
          <w:tcPr>
            <w:tcW w:w="2177"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规范性文件</w:t>
            </w:r>
          </w:p>
        </w:tc>
        <w:tc>
          <w:tcPr>
            <w:tcW w:w="5422"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局制发的规范性文件</w:t>
            </w:r>
          </w:p>
        </w:tc>
        <w:tc>
          <w:tcPr>
            <w:tcW w:w="1508"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866" w:type="dxa"/>
            <w:vMerge w:val="continue"/>
            <w:tcBorders>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rPr>
            </w:pPr>
          </w:p>
        </w:tc>
        <w:tc>
          <w:tcPr>
            <w:tcW w:w="136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rPr>
            </w:pPr>
          </w:p>
        </w:tc>
        <w:tc>
          <w:tcPr>
            <w:tcW w:w="2177"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其他文件</w:t>
            </w:r>
          </w:p>
        </w:tc>
        <w:tc>
          <w:tcPr>
            <w:tcW w:w="5422"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仿宋_GB2312" w:cs="Times New Roman"/>
                <w:sz w:val="24"/>
                <w:szCs w:val="24"/>
                <w:lang w:val="en-US" w:eastAsia="zh-CN"/>
              </w:rPr>
            </w:pPr>
            <w:r>
              <w:rPr>
                <w:rFonts w:hint="eastAsia" w:cs="Times New Roman"/>
                <w:sz w:val="24"/>
                <w:szCs w:val="24"/>
                <w:lang w:val="en-US" w:eastAsia="zh-CN"/>
              </w:rPr>
              <w:t>经批准需要公开的其他文件</w:t>
            </w:r>
          </w:p>
        </w:tc>
        <w:tc>
          <w:tcPr>
            <w:tcW w:w="1508"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866"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3</w:t>
            </w:r>
          </w:p>
        </w:tc>
        <w:tc>
          <w:tcPr>
            <w:tcW w:w="136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规划计划</w:t>
            </w:r>
          </w:p>
        </w:tc>
        <w:tc>
          <w:tcPr>
            <w:tcW w:w="2177"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人力资源发展规划</w:t>
            </w:r>
          </w:p>
        </w:tc>
        <w:tc>
          <w:tcPr>
            <w:tcW w:w="5422"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局各类人力资源发展规划、计划</w:t>
            </w:r>
          </w:p>
        </w:tc>
        <w:tc>
          <w:tcPr>
            <w:tcW w:w="1508"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各股室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866"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4</w:t>
            </w:r>
          </w:p>
        </w:tc>
        <w:tc>
          <w:tcPr>
            <w:tcW w:w="136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工作动态</w:t>
            </w:r>
          </w:p>
        </w:tc>
        <w:tc>
          <w:tcPr>
            <w:tcW w:w="2177"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工作动态</w:t>
            </w:r>
          </w:p>
        </w:tc>
        <w:tc>
          <w:tcPr>
            <w:tcW w:w="5422"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局重大政务活动、重点工作、重要会议、活动等有关工作动态</w:t>
            </w:r>
          </w:p>
        </w:tc>
        <w:tc>
          <w:tcPr>
            <w:tcW w:w="1508"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各股室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866"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5</w:t>
            </w:r>
          </w:p>
        </w:tc>
        <w:tc>
          <w:tcPr>
            <w:tcW w:w="136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业务工作</w:t>
            </w:r>
          </w:p>
        </w:tc>
        <w:tc>
          <w:tcPr>
            <w:tcW w:w="2177"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行政许可</w:t>
            </w:r>
          </w:p>
        </w:tc>
        <w:tc>
          <w:tcPr>
            <w:tcW w:w="5422"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行政许可事项清单及办事指南</w:t>
            </w:r>
          </w:p>
        </w:tc>
        <w:tc>
          <w:tcPr>
            <w:tcW w:w="1508"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各股室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866" w:type="dxa"/>
            <w:vMerge w:val="restart"/>
            <w:tcBorders>
              <w:top w:val="single" w:color="000000" w:sz="6" w:space="0"/>
              <w:left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6</w:t>
            </w:r>
          </w:p>
        </w:tc>
        <w:tc>
          <w:tcPr>
            <w:tcW w:w="1365"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统计信息</w:t>
            </w:r>
          </w:p>
        </w:tc>
        <w:tc>
          <w:tcPr>
            <w:tcW w:w="2177"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财政预（决）算</w:t>
            </w:r>
          </w:p>
        </w:tc>
        <w:tc>
          <w:tcPr>
            <w:tcW w:w="5422"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局年度财政决算、预算信息、政府采购信息</w:t>
            </w:r>
          </w:p>
        </w:tc>
        <w:tc>
          <w:tcPr>
            <w:tcW w:w="1508"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66" w:type="dxa"/>
            <w:vMerge w:val="continue"/>
            <w:tcBorders>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rPr>
            </w:pPr>
          </w:p>
        </w:tc>
        <w:tc>
          <w:tcPr>
            <w:tcW w:w="136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rPr>
            </w:pPr>
          </w:p>
        </w:tc>
        <w:tc>
          <w:tcPr>
            <w:tcW w:w="2177"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专项统计</w:t>
            </w:r>
          </w:p>
        </w:tc>
        <w:tc>
          <w:tcPr>
            <w:tcW w:w="5422"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仿宋_GB2312" w:cs="Times New Roman"/>
                <w:sz w:val="24"/>
                <w:szCs w:val="24"/>
                <w:lang w:val="en-US" w:eastAsia="zh-CN"/>
              </w:rPr>
            </w:pPr>
            <w:r>
              <w:rPr>
                <w:rFonts w:hint="eastAsia" w:cs="Times New Roman"/>
                <w:sz w:val="24"/>
                <w:szCs w:val="24"/>
                <w:lang w:val="en-US" w:eastAsia="zh-CN"/>
              </w:rPr>
              <w:t>专项工作信息公开</w:t>
            </w:r>
          </w:p>
        </w:tc>
        <w:tc>
          <w:tcPr>
            <w:tcW w:w="1508"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sz w:val="24"/>
                <w:szCs w:val="24"/>
                <w:lang w:val="en-US" w:eastAsia="zh-CN"/>
              </w:rPr>
            </w:pPr>
            <w:r>
              <w:rPr>
                <w:rFonts w:hint="eastAsia" w:cs="Times New Roman"/>
                <w:sz w:val="24"/>
                <w:szCs w:val="24"/>
                <w:lang w:val="en-US" w:eastAsia="zh-CN"/>
              </w:rPr>
              <w:t>各股室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66"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7</w:t>
            </w:r>
          </w:p>
        </w:tc>
        <w:tc>
          <w:tcPr>
            <w:tcW w:w="136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rPr>
            </w:pPr>
          </w:p>
        </w:tc>
        <w:tc>
          <w:tcPr>
            <w:tcW w:w="2177"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“三公”经费</w:t>
            </w:r>
          </w:p>
        </w:tc>
        <w:tc>
          <w:tcPr>
            <w:tcW w:w="5422"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局需公开或经批准公开的</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三公”经费信息</w:t>
            </w:r>
          </w:p>
        </w:tc>
        <w:tc>
          <w:tcPr>
            <w:tcW w:w="1508"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66"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8</w:t>
            </w:r>
          </w:p>
        </w:tc>
        <w:tc>
          <w:tcPr>
            <w:tcW w:w="136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其他</w:t>
            </w:r>
          </w:p>
        </w:tc>
        <w:tc>
          <w:tcPr>
            <w:tcW w:w="2177"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通知、告示、公告</w:t>
            </w:r>
          </w:p>
        </w:tc>
        <w:tc>
          <w:tcPr>
            <w:tcW w:w="5422"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局职责范围内依法应当公开的其他信息</w:t>
            </w:r>
          </w:p>
        </w:tc>
        <w:tc>
          <w:tcPr>
            <w:tcW w:w="1508"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各股室</w:t>
            </w:r>
          </w:p>
        </w:tc>
      </w:tr>
    </w:tbl>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476" w:firstLineChars="1100"/>
        <w:jc w:val="left"/>
        <w:textAlignment w:val="auto"/>
        <w:outlineLvl w:val="9"/>
        <w:rPr>
          <w:rFonts w:hint="eastAsia"/>
          <w:lang w:val="en-US" w:eastAsia="zh-CN"/>
        </w:rPr>
      </w:pPr>
      <w:r>
        <w:rPr>
          <w:rFonts w:hint="eastAsia"/>
          <w:lang w:val="en-US" w:eastAsia="zh-CN"/>
        </w:rPr>
        <w:t>韶关市曲江区人力资源和社会保障局</w:t>
      </w:r>
    </w:p>
    <w:p>
      <w:pPr>
        <w:keepNext w:val="0"/>
        <w:keepLines w:val="0"/>
        <w:pageBreakBefore w:val="0"/>
        <w:widowControl w:val="0"/>
        <w:kinsoku/>
        <w:wordWrap/>
        <w:overflowPunct/>
        <w:topLinePunct w:val="0"/>
        <w:autoSpaceDE/>
        <w:autoSpaceDN/>
        <w:bidi w:val="0"/>
        <w:adjustRightInd/>
        <w:snapToGrid/>
        <w:spacing w:line="600" w:lineRule="exact"/>
        <w:ind w:firstLine="5056" w:firstLineChars="1600"/>
        <w:jc w:val="left"/>
        <w:textAlignment w:val="auto"/>
        <w:outlineLvl w:val="9"/>
        <w:rPr>
          <w:rFonts w:hint="default"/>
          <w:lang w:val="en-US" w:eastAsia="zh-CN"/>
        </w:rPr>
      </w:pPr>
      <w:r>
        <w:rPr>
          <w:rFonts w:hint="eastAsia"/>
          <w:lang w:val="en-US" w:eastAsia="zh-CN"/>
        </w:rPr>
        <w:t>2024</w:t>
      </w:r>
      <w:bookmarkStart w:id="3" w:name="_GoBack"/>
      <w:bookmarkEnd w:id="3"/>
      <w:r>
        <w:rPr>
          <w:rFonts w:hint="eastAsia"/>
          <w:lang w:val="en-US" w:eastAsia="zh-CN"/>
        </w:rPr>
        <w:t>年1月11日</w:t>
      </w:r>
    </w:p>
    <w:sectPr>
      <w:pgSz w:w="11906" w:h="16838"/>
      <w:pgMar w:top="2098" w:right="1474" w:bottom="1984" w:left="1587" w:header="851" w:footer="1417"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NGI3ZGJlZThkNzM1MGNjZTU3ZWU5MTA0MDhkN2MifQ=="/>
  </w:docVars>
  <w:rsids>
    <w:rsidRoot w:val="00172A27"/>
    <w:rsid w:val="05414D62"/>
    <w:rsid w:val="23F81FD6"/>
    <w:rsid w:val="32A11524"/>
    <w:rsid w:val="3442581E"/>
    <w:rsid w:val="3629292C"/>
    <w:rsid w:val="58D631AA"/>
    <w:rsid w:val="772A3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32"/>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Administrator.DESKTOP-R1TVU0R</dc:creator>
  <cp:lastModifiedBy>谭</cp:lastModifiedBy>
  <dcterms:modified xsi:type="dcterms:W3CDTF">2024-02-01T03:39:05Z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ribbonExt">
    <vt:lpwstr>{"WPSExtOfficeTab":{"OnGetEnabled":false,"OnGetVisible":false}}</vt:lpwstr>
  </property>
  <property fmtid="{D5CDD505-2E9C-101B-9397-08002B2CF9AE}" pid="4" name="ICV">
    <vt:lpwstr>58E1190C2FB7485B85DBC0252FB974B3</vt:lpwstr>
  </property>
</Properties>
</file>