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
          <w:color w:val="auto"/>
          <w:kern w:val="21"/>
          <w:szCs w:val="32"/>
        </w:rPr>
      </w:pPr>
      <w:bookmarkStart w:id="0" w:name="_GoBack"/>
      <w:r>
        <w:rPr>
          <w:rFonts w:eastAsia="仿宋"/>
          <w:color w:val="auto"/>
          <w:kern w:val="21"/>
          <w:szCs w:val="32"/>
        </w:rPr>
        <w:t>合同编号：</w:t>
      </w:r>
      <w:r>
        <w:rPr>
          <w:rFonts w:eastAsia="华文中宋"/>
          <w:b/>
          <w:color w:val="auto"/>
          <w:szCs w:val="32"/>
        </w:rPr>
        <w:t>采合〔202</w:t>
      </w:r>
      <w:r>
        <w:rPr>
          <w:rFonts w:hint="eastAsia" w:eastAsia="华文中宋"/>
          <w:b/>
          <w:color w:val="auto"/>
          <w:szCs w:val="32"/>
        </w:rPr>
        <w:t>3</w:t>
      </w:r>
      <w:r>
        <w:rPr>
          <w:rFonts w:eastAsia="华文中宋"/>
          <w:b/>
          <w:color w:val="auto"/>
          <w:szCs w:val="32"/>
        </w:rPr>
        <w:t>〕</w:t>
      </w:r>
      <w:r>
        <w:rPr>
          <w:rFonts w:hint="eastAsia" w:eastAsia="华文中宋"/>
          <w:b/>
          <w:color w:val="auto"/>
          <w:szCs w:val="32"/>
        </w:rPr>
        <w:t>2</w:t>
      </w:r>
      <w:r>
        <w:rPr>
          <w:rFonts w:eastAsia="华文中宋"/>
          <w:b/>
          <w:color w:val="auto"/>
          <w:szCs w:val="32"/>
        </w:rPr>
        <w:t>号</w:t>
      </w:r>
    </w:p>
    <w:p>
      <w:pPr>
        <w:jc w:val="center"/>
        <w:rPr>
          <w:rFonts w:eastAsia="宋体-18030"/>
          <w:color w:val="auto"/>
          <w:sz w:val="52"/>
          <w:szCs w:val="44"/>
        </w:rPr>
      </w:pPr>
    </w:p>
    <w:p>
      <w:pPr>
        <w:jc w:val="center"/>
        <w:rPr>
          <w:rFonts w:eastAsia="宋体-18030"/>
          <w:color w:val="auto"/>
          <w:sz w:val="52"/>
          <w:szCs w:val="44"/>
        </w:rPr>
      </w:pPr>
    </w:p>
    <w:p>
      <w:pPr>
        <w:jc w:val="center"/>
        <w:rPr>
          <w:rFonts w:eastAsia="宋体-18030"/>
          <w:color w:val="auto"/>
          <w:sz w:val="52"/>
          <w:szCs w:val="44"/>
        </w:rPr>
      </w:pPr>
    </w:p>
    <w:p>
      <w:pPr>
        <w:jc w:val="center"/>
        <w:rPr>
          <w:rFonts w:eastAsia="宋体-18030"/>
          <w:color w:val="auto"/>
          <w:sz w:val="52"/>
          <w:szCs w:val="44"/>
        </w:rPr>
      </w:pPr>
    </w:p>
    <w:p>
      <w:pPr>
        <w:jc w:val="center"/>
        <w:rPr>
          <w:rFonts w:eastAsia="宋体-18030"/>
          <w:b/>
          <w:bCs/>
          <w:color w:val="auto"/>
          <w:sz w:val="72"/>
          <w:szCs w:val="52"/>
        </w:rPr>
      </w:pPr>
      <w:r>
        <w:rPr>
          <w:rFonts w:eastAsia="宋体-18030"/>
          <w:b/>
          <w:bCs/>
          <w:color w:val="auto"/>
          <w:sz w:val="72"/>
          <w:szCs w:val="52"/>
        </w:rPr>
        <w:t>采矿权出让合同</w:t>
      </w:r>
      <w:r>
        <w:rPr>
          <w:rFonts w:hint="eastAsia" w:eastAsia="宋体-18030"/>
          <w:b/>
          <w:bCs/>
          <w:color w:val="auto"/>
          <w:sz w:val="72"/>
          <w:szCs w:val="52"/>
        </w:rPr>
        <w:t>（样本）</w:t>
      </w:r>
    </w:p>
    <w:p>
      <w:pPr>
        <w:jc w:val="center"/>
        <w:rPr>
          <w:rFonts w:eastAsia="宋体-18030"/>
          <w:color w:val="auto"/>
          <w:sz w:val="52"/>
          <w:szCs w:val="44"/>
        </w:rPr>
      </w:pPr>
    </w:p>
    <w:p>
      <w:pPr>
        <w:jc w:val="center"/>
        <w:rPr>
          <w:rFonts w:eastAsia="宋体-18030"/>
          <w:color w:val="auto"/>
          <w:sz w:val="52"/>
          <w:szCs w:val="44"/>
        </w:rPr>
      </w:pPr>
    </w:p>
    <w:p>
      <w:pPr>
        <w:jc w:val="center"/>
        <w:rPr>
          <w:rFonts w:eastAsia="宋体-18030"/>
          <w:color w:val="auto"/>
          <w:sz w:val="52"/>
          <w:szCs w:val="44"/>
        </w:rPr>
      </w:pPr>
    </w:p>
    <w:p>
      <w:pPr>
        <w:jc w:val="center"/>
        <w:rPr>
          <w:rFonts w:eastAsia="宋体-18030"/>
          <w:color w:val="auto"/>
          <w:sz w:val="52"/>
          <w:szCs w:val="44"/>
        </w:rPr>
      </w:pPr>
    </w:p>
    <w:p>
      <w:pPr>
        <w:jc w:val="center"/>
        <w:rPr>
          <w:rFonts w:eastAsia="宋体-18030"/>
          <w:color w:val="auto"/>
          <w:sz w:val="52"/>
          <w:szCs w:val="44"/>
        </w:rPr>
      </w:pPr>
    </w:p>
    <w:p>
      <w:pPr>
        <w:rPr>
          <w:color w:val="auto"/>
        </w:rPr>
      </w:pPr>
    </w:p>
    <w:p>
      <w:pPr>
        <w:rPr>
          <w:rFonts w:eastAsia="宋体-18030"/>
          <w:color w:val="auto"/>
          <w:sz w:val="52"/>
          <w:szCs w:val="44"/>
        </w:rPr>
      </w:pPr>
    </w:p>
    <w:p>
      <w:pPr>
        <w:rPr>
          <w:color w:val="auto"/>
        </w:rPr>
      </w:pPr>
    </w:p>
    <w:p>
      <w:pPr>
        <w:rPr>
          <w:color w:val="auto"/>
        </w:rPr>
      </w:pPr>
    </w:p>
    <w:p>
      <w:pPr>
        <w:jc w:val="center"/>
        <w:rPr>
          <w:rFonts w:eastAsia="宋体-18030"/>
          <w:color w:val="auto"/>
          <w:sz w:val="52"/>
          <w:szCs w:val="44"/>
        </w:rPr>
      </w:pPr>
    </w:p>
    <w:p>
      <w:pPr>
        <w:jc w:val="center"/>
        <w:rPr>
          <w:rFonts w:eastAsia="楷体"/>
          <w:color w:val="auto"/>
          <w:sz w:val="40"/>
          <w:szCs w:val="40"/>
        </w:rPr>
      </w:pPr>
      <w:r>
        <w:rPr>
          <w:rFonts w:hint="eastAsia" w:eastAsia="楷体"/>
          <w:color w:val="auto"/>
          <w:sz w:val="40"/>
          <w:szCs w:val="40"/>
        </w:rPr>
        <w:t>韶关市曲江区</w:t>
      </w:r>
      <w:r>
        <w:rPr>
          <w:rFonts w:eastAsia="楷体"/>
          <w:color w:val="auto"/>
          <w:sz w:val="40"/>
          <w:szCs w:val="40"/>
        </w:rPr>
        <w:t>自然资源局印制</w:t>
      </w:r>
    </w:p>
    <w:p>
      <w:pPr>
        <w:rPr>
          <w:rFonts w:eastAsia="仿宋"/>
          <w:color w:val="auto"/>
          <w:kern w:val="21"/>
          <w:szCs w:val="32"/>
        </w:rPr>
      </w:pPr>
    </w:p>
    <w:p>
      <w:pPr>
        <w:jc w:val="center"/>
        <w:rPr>
          <w:rFonts w:eastAsia="宋体-18030"/>
          <w:color w:val="auto"/>
          <w:sz w:val="52"/>
          <w:szCs w:val="44"/>
        </w:rPr>
        <w:sectPr>
          <w:pgSz w:w="11906" w:h="16838"/>
          <w:pgMar w:top="1985" w:right="1474" w:bottom="1814" w:left="1588" w:header="851" w:footer="992" w:gutter="0"/>
          <w:pgNumType w:start="1"/>
          <w:cols w:space="720" w:num="1"/>
          <w:docGrid w:type="lines" w:linePitch="312" w:charSpace="0"/>
        </w:sectPr>
      </w:pPr>
    </w:p>
    <w:p>
      <w:pPr>
        <w:pStyle w:val="11"/>
        <w:ind w:firstLine="640"/>
        <w:rPr>
          <w:color w:val="auto"/>
        </w:rPr>
      </w:pPr>
    </w:p>
    <w:p>
      <w:pPr>
        <w:rPr>
          <w:color w:val="auto"/>
        </w:rPr>
      </w:pPr>
    </w:p>
    <w:p>
      <w:pPr>
        <w:spacing w:line="360" w:lineRule="auto"/>
        <w:jc w:val="center"/>
        <w:rPr>
          <w:color w:val="auto"/>
        </w:rPr>
      </w:pPr>
      <w:r>
        <w:rPr>
          <w:rFonts w:eastAsia="宋体-18030"/>
          <w:b/>
          <w:bCs/>
          <w:color w:val="auto"/>
          <w:sz w:val="52"/>
          <w:szCs w:val="44"/>
        </w:rPr>
        <w:t>采矿权出让合同</w:t>
      </w:r>
    </w:p>
    <w:p>
      <w:pPr>
        <w:jc w:val="center"/>
        <w:rPr>
          <w:rFonts w:eastAsia="黑体"/>
          <w:b/>
          <w:bCs/>
          <w:color w:val="auto"/>
          <w:sz w:val="30"/>
          <w:szCs w:val="30"/>
        </w:rPr>
      </w:pPr>
    </w:p>
    <w:p>
      <w:pPr>
        <w:pStyle w:val="11"/>
        <w:ind w:firstLine="640"/>
        <w:rPr>
          <w:color w:val="auto"/>
        </w:rPr>
      </w:pPr>
    </w:p>
    <w:p>
      <w:pPr>
        <w:jc w:val="center"/>
        <w:rPr>
          <w:rFonts w:eastAsia="黑体"/>
          <w:b/>
          <w:bCs/>
          <w:color w:val="auto"/>
          <w:sz w:val="30"/>
          <w:szCs w:val="30"/>
        </w:rPr>
      </w:pPr>
      <w:r>
        <w:rPr>
          <w:rFonts w:eastAsia="黑体"/>
          <w:b/>
          <w:bCs/>
          <w:color w:val="auto"/>
          <w:sz w:val="30"/>
          <w:szCs w:val="30"/>
        </w:rPr>
        <w:t>项目名称：</w:t>
      </w:r>
      <w:r>
        <w:rPr>
          <w:rFonts w:hint="eastAsia" w:eastAsia="黑体"/>
          <w:b/>
          <w:bCs/>
          <w:color w:val="auto"/>
          <w:sz w:val="30"/>
          <w:szCs w:val="30"/>
        </w:rPr>
        <w:t>广东省韶关市曲江区大旺山矿区水泥用、</w:t>
      </w:r>
    </w:p>
    <w:p>
      <w:pPr>
        <w:ind w:firstLine="2409" w:firstLineChars="800"/>
        <w:rPr>
          <w:rFonts w:eastAsia="黑体"/>
          <w:b/>
          <w:bCs/>
          <w:color w:val="auto"/>
          <w:sz w:val="30"/>
          <w:szCs w:val="30"/>
        </w:rPr>
      </w:pPr>
      <w:r>
        <w:rPr>
          <w:rFonts w:hint="eastAsia" w:eastAsia="黑体"/>
          <w:b/>
          <w:bCs/>
          <w:color w:val="auto"/>
          <w:sz w:val="30"/>
          <w:szCs w:val="30"/>
        </w:rPr>
        <w:t>建筑用石灰岩矿采矿权</w:t>
      </w:r>
    </w:p>
    <w:p>
      <w:pPr>
        <w:jc w:val="center"/>
        <w:rPr>
          <w:rFonts w:eastAsia="黑体"/>
          <w:b/>
          <w:bCs/>
          <w:color w:val="auto"/>
          <w:sz w:val="30"/>
          <w:szCs w:val="30"/>
        </w:rPr>
      </w:pPr>
    </w:p>
    <w:p>
      <w:pPr>
        <w:pStyle w:val="11"/>
        <w:ind w:firstLine="640"/>
        <w:rPr>
          <w:color w:val="auto"/>
        </w:rPr>
      </w:pPr>
    </w:p>
    <w:tbl>
      <w:tblPr>
        <w:tblStyle w:val="9"/>
        <w:tblW w:w="85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35"/>
        <w:gridCol w:w="5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35" w:type="dxa"/>
          </w:tcPr>
          <w:p>
            <w:pPr>
              <w:spacing w:line="360" w:lineRule="auto"/>
              <w:jc w:val="distribute"/>
              <w:rPr>
                <w:rFonts w:eastAsia="宋体"/>
                <w:color w:val="auto"/>
                <w:kern w:val="21"/>
                <w:sz w:val="28"/>
                <w:szCs w:val="48"/>
              </w:rPr>
            </w:pPr>
            <w:r>
              <w:rPr>
                <w:rFonts w:eastAsia="宋体"/>
                <w:color w:val="auto"/>
                <w:kern w:val="21"/>
                <w:sz w:val="28"/>
                <w:szCs w:val="48"/>
              </w:rPr>
              <w:t>甲方（出让人）：</w:t>
            </w:r>
          </w:p>
        </w:tc>
        <w:tc>
          <w:tcPr>
            <w:tcW w:w="5670" w:type="dxa"/>
          </w:tcPr>
          <w:p>
            <w:pPr>
              <w:spacing w:line="360" w:lineRule="auto"/>
              <w:rPr>
                <w:color w:val="auto"/>
                <w:kern w:val="21"/>
                <w:sz w:val="28"/>
                <w:szCs w:val="48"/>
                <w:u w:val="single"/>
              </w:rPr>
            </w:pPr>
            <w:r>
              <w:rPr>
                <w:rFonts w:hint="eastAsia"/>
                <w:color w:val="auto"/>
                <w:szCs w:val="32"/>
                <w:u w:val="single"/>
              </w:rPr>
              <w:t>韶关市曲江区</w:t>
            </w:r>
            <w:r>
              <w:rPr>
                <w:color w:val="auto"/>
                <w:szCs w:val="32"/>
                <w:u w:val="single"/>
              </w:rPr>
              <w:t xml:space="preserve">自然资源局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35" w:type="dxa"/>
          </w:tcPr>
          <w:p>
            <w:pPr>
              <w:spacing w:line="360" w:lineRule="auto"/>
              <w:jc w:val="distribute"/>
              <w:rPr>
                <w:rFonts w:eastAsia="宋体"/>
                <w:color w:val="auto"/>
                <w:kern w:val="21"/>
                <w:sz w:val="28"/>
                <w:szCs w:val="48"/>
              </w:rPr>
            </w:pPr>
            <w:r>
              <w:rPr>
                <w:rFonts w:eastAsia="宋体"/>
                <w:color w:val="auto"/>
                <w:kern w:val="21"/>
                <w:sz w:val="28"/>
                <w:szCs w:val="48"/>
              </w:rPr>
              <w:t>场　　　所：</w:t>
            </w:r>
          </w:p>
        </w:tc>
        <w:tc>
          <w:tcPr>
            <w:tcW w:w="5670" w:type="dxa"/>
          </w:tcPr>
          <w:p>
            <w:pPr>
              <w:spacing w:line="360" w:lineRule="auto"/>
              <w:rPr>
                <w:rFonts w:eastAsia="仿宋"/>
                <w:color w:val="auto"/>
                <w:kern w:val="21"/>
                <w:sz w:val="28"/>
                <w:szCs w:val="48"/>
              </w:rPr>
            </w:pPr>
            <w:r>
              <w:rPr>
                <w:rFonts w:hint="eastAsia" w:eastAsia="仿宋"/>
                <w:color w:val="auto"/>
                <w:kern w:val="21"/>
                <w:sz w:val="28"/>
                <w:szCs w:val="48"/>
                <w:u w:val="single"/>
              </w:rPr>
              <w:t xml:space="preserve">曲江区马坝镇城南大道3号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35" w:type="dxa"/>
          </w:tcPr>
          <w:p>
            <w:pPr>
              <w:spacing w:line="360" w:lineRule="auto"/>
              <w:jc w:val="distribute"/>
              <w:rPr>
                <w:rFonts w:eastAsia="宋体"/>
                <w:color w:val="auto"/>
                <w:kern w:val="21"/>
                <w:sz w:val="28"/>
                <w:szCs w:val="48"/>
              </w:rPr>
            </w:pPr>
            <w:r>
              <w:rPr>
                <w:rFonts w:eastAsia="宋体"/>
                <w:color w:val="auto"/>
                <w:kern w:val="21"/>
                <w:sz w:val="28"/>
                <w:szCs w:val="48"/>
              </w:rPr>
              <w:t>法定代表人：</w:t>
            </w:r>
          </w:p>
        </w:tc>
        <w:tc>
          <w:tcPr>
            <w:tcW w:w="5670" w:type="dxa"/>
          </w:tcPr>
          <w:p>
            <w:pPr>
              <w:spacing w:line="360" w:lineRule="auto"/>
              <w:rPr>
                <w:rFonts w:eastAsia="仿宋"/>
                <w:color w:val="auto"/>
                <w:kern w:val="21"/>
                <w:sz w:val="28"/>
                <w:szCs w:val="48"/>
              </w:rPr>
            </w:pPr>
            <w:r>
              <w:rPr>
                <w:rFonts w:hint="eastAsia" w:eastAsia="仿宋"/>
                <w:color w:val="auto"/>
                <w:kern w:val="21"/>
                <w:sz w:val="28"/>
                <w:szCs w:val="48"/>
                <w:u w:val="single"/>
              </w:rPr>
              <w:t>蓝 天</w:t>
            </w:r>
            <w:r>
              <w:rPr>
                <w:rFonts w:eastAsia="仿宋"/>
                <w:color w:val="auto"/>
                <w:kern w:val="21"/>
                <w:sz w:val="28"/>
                <w:szCs w:val="4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35" w:type="dxa"/>
          </w:tcPr>
          <w:p>
            <w:pPr>
              <w:spacing w:line="360" w:lineRule="auto"/>
              <w:jc w:val="distribute"/>
              <w:rPr>
                <w:rFonts w:eastAsia="宋体"/>
                <w:color w:val="auto"/>
                <w:kern w:val="21"/>
                <w:sz w:val="28"/>
                <w:szCs w:val="48"/>
              </w:rPr>
            </w:pPr>
          </w:p>
        </w:tc>
        <w:tc>
          <w:tcPr>
            <w:tcW w:w="5670" w:type="dxa"/>
          </w:tcPr>
          <w:p>
            <w:pPr>
              <w:spacing w:line="360" w:lineRule="auto"/>
              <w:rPr>
                <w:rFonts w:eastAsia="仿宋"/>
                <w:color w:val="auto"/>
                <w:kern w:val="21"/>
                <w:sz w:val="28"/>
                <w:szCs w:val="4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35" w:type="dxa"/>
          </w:tcPr>
          <w:p>
            <w:pPr>
              <w:spacing w:line="360" w:lineRule="auto"/>
              <w:jc w:val="distribute"/>
              <w:rPr>
                <w:rFonts w:eastAsia="宋体"/>
                <w:color w:val="auto"/>
                <w:kern w:val="21"/>
                <w:sz w:val="28"/>
                <w:szCs w:val="48"/>
              </w:rPr>
            </w:pPr>
            <w:r>
              <w:rPr>
                <w:rFonts w:eastAsia="宋体"/>
                <w:color w:val="auto"/>
                <w:kern w:val="21"/>
                <w:sz w:val="28"/>
                <w:szCs w:val="48"/>
              </w:rPr>
              <w:t>乙方（受让人）</w:t>
            </w:r>
          </w:p>
        </w:tc>
        <w:tc>
          <w:tcPr>
            <w:tcW w:w="5670" w:type="dxa"/>
          </w:tcPr>
          <w:p>
            <w:pPr>
              <w:spacing w:line="360" w:lineRule="auto"/>
              <w:rPr>
                <w:rFonts w:eastAsia="仿宋"/>
                <w:color w:val="auto"/>
                <w:kern w:val="21"/>
                <w:sz w:val="28"/>
                <w:szCs w:val="48"/>
                <w:u w:val="single"/>
              </w:rPr>
            </w:pPr>
            <w:r>
              <w:rPr>
                <w:rFonts w:eastAsia="仿宋"/>
                <w:color w:val="auto"/>
                <w:kern w:val="21"/>
                <w:sz w:val="28"/>
                <w:szCs w:val="48"/>
                <w:u w:val="single"/>
              </w:rPr>
              <w:t xml:space="preserve">                         </w:t>
            </w:r>
            <w:r>
              <w:rPr>
                <w:rFonts w:hint="eastAsia" w:eastAsia="仿宋"/>
                <w:color w:val="auto"/>
                <w:kern w:val="21"/>
                <w:sz w:val="28"/>
                <w:szCs w:val="4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35" w:type="dxa"/>
          </w:tcPr>
          <w:p>
            <w:pPr>
              <w:spacing w:line="360" w:lineRule="auto"/>
              <w:jc w:val="distribute"/>
              <w:rPr>
                <w:rFonts w:eastAsia="宋体"/>
                <w:color w:val="auto"/>
                <w:kern w:val="21"/>
                <w:sz w:val="28"/>
                <w:szCs w:val="48"/>
              </w:rPr>
            </w:pPr>
            <w:r>
              <w:rPr>
                <w:rFonts w:eastAsia="宋体"/>
                <w:color w:val="auto"/>
                <w:kern w:val="21"/>
                <w:sz w:val="28"/>
                <w:szCs w:val="48"/>
              </w:rPr>
              <w:t>场　　　　所：</w:t>
            </w:r>
          </w:p>
        </w:tc>
        <w:tc>
          <w:tcPr>
            <w:tcW w:w="5670" w:type="dxa"/>
          </w:tcPr>
          <w:p>
            <w:pPr>
              <w:spacing w:line="360" w:lineRule="auto"/>
              <w:rPr>
                <w:rFonts w:eastAsia="仿宋"/>
                <w:color w:val="auto"/>
                <w:kern w:val="21"/>
                <w:sz w:val="28"/>
                <w:szCs w:val="48"/>
                <w:u w:val="single"/>
              </w:rPr>
            </w:pPr>
            <w:r>
              <w:rPr>
                <w:rFonts w:hint="eastAsia" w:eastAsia="仿宋"/>
                <w:color w:val="auto"/>
                <w:kern w:val="21"/>
                <w:sz w:val="28"/>
                <w:szCs w:val="48"/>
                <w:u w:val="single"/>
              </w:rPr>
              <w:t>曲江区马坝镇城南大道3号</w:t>
            </w:r>
            <w:r>
              <w:rPr>
                <w:rFonts w:eastAsia="仿宋"/>
                <w:color w:val="auto"/>
                <w:kern w:val="21"/>
                <w:sz w:val="28"/>
                <w:szCs w:val="4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35" w:type="dxa"/>
          </w:tcPr>
          <w:p>
            <w:pPr>
              <w:spacing w:line="360" w:lineRule="auto"/>
              <w:jc w:val="distribute"/>
              <w:rPr>
                <w:rFonts w:eastAsia="宋体"/>
                <w:color w:val="auto"/>
                <w:kern w:val="21"/>
                <w:sz w:val="28"/>
                <w:szCs w:val="48"/>
              </w:rPr>
            </w:pPr>
            <w:r>
              <w:rPr>
                <w:rFonts w:eastAsia="宋体"/>
                <w:color w:val="auto"/>
                <w:kern w:val="21"/>
                <w:sz w:val="28"/>
                <w:szCs w:val="48"/>
              </w:rPr>
              <w:t>法定代表人：</w:t>
            </w:r>
          </w:p>
        </w:tc>
        <w:tc>
          <w:tcPr>
            <w:tcW w:w="5670" w:type="dxa"/>
          </w:tcPr>
          <w:p>
            <w:pPr>
              <w:spacing w:line="360" w:lineRule="auto"/>
              <w:rPr>
                <w:rFonts w:eastAsia="仿宋"/>
                <w:color w:val="auto"/>
                <w:kern w:val="21"/>
                <w:sz w:val="28"/>
                <w:szCs w:val="48"/>
                <w:u w:val="single"/>
              </w:rPr>
            </w:pPr>
            <w:r>
              <w:rPr>
                <w:rFonts w:eastAsia="仿宋"/>
                <w:color w:val="auto"/>
                <w:kern w:val="21"/>
                <w:sz w:val="28"/>
                <w:szCs w:val="48"/>
                <w:u w:val="single"/>
              </w:rPr>
              <w:t xml:space="preserve">                             </w:t>
            </w:r>
            <w:r>
              <w:rPr>
                <w:rFonts w:hint="eastAsia" w:eastAsia="仿宋"/>
                <w:color w:val="auto"/>
                <w:kern w:val="21"/>
                <w:sz w:val="28"/>
                <w:szCs w:val="4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35" w:type="dxa"/>
          </w:tcPr>
          <w:p>
            <w:pPr>
              <w:spacing w:line="360" w:lineRule="auto"/>
              <w:jc w:val="distribute"/>
              <w:rPr>
                <w:rFonts w:eastAsia="宋体"/>
                <w:color w:val="auto"/>
                <w:kern w:val="21"/>
                <w:sz w:val="28"/>
                <w:szCs w:val="48"/>
              </w:rPr>
            </w:pPr>
            <w:r>
              <w:rPr>
                <w:rFonts w:eastAsia="宋体"/>
                <w:color w:val="auto"/>
                <w:kern w:val="21"/>
                <w:sz w:val="28"/>
                <w:szCs w:val="48"/>
              </w:rPr>
              <w:t>统一社会信用代码：</w:t>
            </w:r>
          </w:p>
        </w:tc>
        <w:tc>
          <w:tcPr>
            <w:tcW w:w="5670" w:type="dxa"/>
          </w:tcPr>
          <w:p>
            <w:pPr>
              <w:spacing w:line="360" w:lineRule="auto"/>
              <w:rPr>
                <w:rFonts w:eastAsia="仿宋"/>
                <w:color w:val="auto"/>
                <w:kern w:val="21"/>
                <w:sz w:val="28"/>
                <w:szCs w:val="48"/>
                <w:u w:val="single"/>
              </w:rPr>
            </w:pPr>
            <w:r>
              <w:rPr>
                <w:rFonts w:eastAsia="仿宋"/>
                <w:color w:val="auto"/>
                <w:kern w:val="21"/>
                <w:sz w:val="28"/>
                <w:szCs w:val="48"/>
                <w:u w:val="single"/>
              </w:rPr>
              <w:t xml:space="preserve">                               </w:t>
            </w:r>
            <w:r>
              <w:rPr>
                <w:rFonts w:hint="eastAsia" w:eastAsia="仿宋"/>
                <w:color w:val="auto"/>
                <w:kern w:val="21"/>
                <w:sz w:val="28"/>
                <w:szCs w:val="48"/>
                <w:u w:val="single"/>
              </w:rPr>
              <w:t xml:space="preserve">      </w:t>
            </w:r>
          </w:p>
        </w:tc>
      </w:tr>
    </w:tbl>
    <w:p>
      <w:pPr>
        <w:jc w:val="center"/>
        <w:rPr>
          <w:rFonts w:eastAsia="宋体-18030"/>
          <w:color w:val="auto"/>
          <w:sz w:val="52"/>
          <w:szCs w:val="44"/>
        </w:rPr>
      </w:pPr>
    </w:p>
    <w:p>
      <w:pPr>
        <w:jc w:val="center"/>
        <w:rPr>
          <w:rFonts w:eastAsia="仿宋"/>
          <w:b/>
          <w:bCs/>
          <w:color w:val="auto"/>
          <w:kern w:val="21"/>
          <w:szCs w:val="32"/>
        </w:rPr>
      </w:pPr>
      <w:r>
        <w:rPr>
          <w:rFonts w:eastAsia="仿宋"/>
          <w:b/>
          <w:bCs/>
          <w:color w:val="auto"/>
          <w:kern w:val="21"/>
          <w:szCs w:val="32"/>
        </w:rPr>
        <w:t>202</w:t>
      </w:r>
      <w:r>
        <w:rPr>
          <w:rFonts w:hint="eastAsia" w:eastAsia="仿宋"/>
          <w:b/>
          <w:bCs/>
          <w:color w:val="auto"/>
          <w:kern w:val="21"/>
          <w:szCs w:val="32"/>
        </w:rPr>
        <w:t>3</w:t>
      </w:r>
      <w:r>
        <w:rPr>
          <w:rFonts w:eastAsia="仿宋"/>
          <w:b/>
          <w:bCs/>
          <w:color w:val="auto"/>
          <w:kern w:val="21"/>
          <w:szCs w:val="32"/>
        </w:rPr>
        <w:t>年</w:t>
      </w:r>
      <w:r>
        <w:rPr>
          <w:rFonts w:hint="eastAsia" w:eastAsia="仿宋"/>
          <w:b/>
          <w:bCs/>
          <w:color w:val="auto"/>
          <w:kern w:val="21"/>
          <w:szCs w:val="32"/>
        </w:rPr>
        <w:t>11</w:t>
      </w:r>
      <w:r>
        <w:rPr>
          <w:rFonts w:eastAsia="仿宋"/>
          <w:b/>
          <w:bCs/>
          <w:color w:val="auto"/>
          <w:kern w:val="21"/>
          <w:szCs w:val="32"/>
        </w:rPr>
        <w:t>月</w:t>
      </w:r>
    </w:p>
    <w:p>
      <w:pPr>
        <w:rPr>
          <w:color w:val="auto"/>
        </w:rPr>
        <w:sectPr>
          <w:footerReference r:id="rId3" w:type="default"/>
          <w:pgSz w:w="11906" w:h="16838"/>
          <w:pgMar w:top="1985" w:right="1474" w:bottom="1814" w:left="1588" w:header="851" w:footer="992" w:gutter="0"/>
          <w:pgNumType w:start="1"/>
          <w:cols w:space="720" w:num="1"/>
          <w:docGrid w:type="lines" w:linePitch="312" w:charSpace="0"/>
        </w:sectPr>
      </w:pPr>
    </w:p>
    <w:p>
      <w:pPr>
        <w:spacing w:line="560" w:lineRule="exact"/>
        <w:rPr>
          <w:rFonts w:eastAsia="仿宋"/>
          <w:color w:val="auto"/>
          <w:kern w:val="21"/>
          <w:szCs w:val="32"/>
        </w:rPr>
      </w:pPr>
    </w:p>
    <w:p>
      <w:pPr>
        <w:spacing w:line="580" w:lineRule="exact"/>
        <w:jc w:val="center"/>
        <w:rPr>
          <w:rFonts w:eastAsia="黑体"/>
          <w:b/>
          <w:bCs/>
          <w:color w:val="auto"/>
          <w:szCs w:val="32"/>
        </w:rPr>
      </w:pPr>
      <w:r>
        <w:rPr>
          <w:rFonts w:eastAsia="黑体"/>
          <w:b/>
          <w:bCs/>
          <w:color w:val="auto"/>
          <w:szCs w:val="32"/>
        </w:rPr>
        <w:t>说 明</w:t>
      </w:r>
    </w:p>
    <w:p>
      <w:pPr>
        <w:spacing w:line="580" w:lineRule="exact"/>
        <w:ind w:firstLine="640" w:firstLineChars="200"/>
        <w:rPr>
          <w:color w:val="auto"/>
        </w:rPr>
      </w:pPr>
      <w:r>
        <w:rPr>
          <w:color w:val="auto"/>
        </w:rPr>
        <w:t>一、第四条中的分期缴纳，首次缴纳比例不得低于采矿权出让收益的20%。</w:t>
      </w:r>
    </w:p>
    <w:p>
      <w:pPr>
        <w:spacing w:line="580" w:lineRule="exact"/>
        <w:ind w:firstLine="640" w:firstLineChars="200"/>
        <w:rPr>
          <w:color w:val="auto"/>
        </w:rPr>
      </w:pPr>
      <w:r>
        <w:rPr>
          <w:color w:val="auto"/>
        </w:rPr>
        <w:t>二、矿山开采过程中矿产资源／储量发生较大变化，或发现新的可供开采的矿产资源储量，乙方应向曲江区自然资源局报备，补充储量核实报告。</w:t>
      </w:r>
    </w:p>
    <w:p>
      <w:pPr>
        <w:spacing w:line="580" w:lineRule="exact"/>
        <w:ind w:firstLine="640" w:firstLineChars="200"/>
        <w:rPr>
          <w:rFonts w:eastAsia="仿宋"/>
          <w:color w:val="auto"/>
        </w:rPr>
      </w:pPr>
      <w:r>
        <w:rPr>
          <w:color w:val="auto"/>
        </w:rPr>
        <w:t>三、</w:t>
      </w:r>
      <w:r>
        <w:rPr>
          <w:rFonts w:eastAsia="仿宋"/>
          <w:color w:val="auto"/>
          <w:kern w:val="21"/>
          <w:szCs w:val="32"/>
        </w:rPr>
        <w:t>乙方应当自行承担可能存在的风险。</w:t>
      </w:r>
    </w:p>
    <w:p>
      <w:pPr>
        <w:spacing w:line="580" w:lineRule="exact"/>
        <w:rPr>
          <w:color w:val="auto"/>
        </w:rPr>
      </w:pPr>
    </w:p>
    <w:p>
      <w:pPr>
        <w:spacing w:line="580" w:lineRule="exact"/>
        <w:rPr>
          <w:rFonts w:eastAsia="仿宋"/>
          <w:color w:val="auto"/>
          <w:kern w:val="21"/>
          <w:szCs w:val="32"/>
        </w:rPr>
      </w:pPr>
    </w:p>
    <w:p>
      <w:pPr>
        <w:pStyle w:val="11"/>
        <w:ind w:firstLine="640"/>
        <w:rPr>
          <w:color w:val="auto"/>
        </w:rPr>
        <w:sectPr>
          <w:footerReference r:id="rId4" w:type="default"/>
          <w:pgSz w:w="11906" w:h="16838"/>
          <w:pgMar w:top="1985" w:right="1474" w:bottom="1814" w:left="1588" w:header="851" w:footer="992" w:gutter="0"/>
          <w:pgNumType w:start="1"/>
          <w:cols w:space="720" w:num="1"/>
          <w:docGrid w:type="lines" w:linePitch="312" w:charSpace="0"/>
        </w:sectPr>
      </w:pPr>
    </w:p>
    <w:p>
      <w:pPr>
        <w:spacing w:line="580" w:lineRule="exact"/>
        <w:jc w:val="center"/>
        <w:rPr>
          <w:rFonts w:eastAsia="黑体"/>
          <w:b/>
          <w:bCs/>
          <w:color w:val="auto"/>
          <w:kern w:val="21"/>
          <w:sz w:val="44"/>
          <w:szCs w:val="44"/>
        </w:rPr>
      </w:pPr>
      <w:r>
        <w:rPr>
          <w:rFonts w:hint="eastAsia" w:eastAsia="黑体"/>
          <w:b/>
          <w:bCs/>
          <w:color w:val="auto"/>
          <w:sz w:val="44"/>
          <w:szCs w:val="44"/>
        </w:rPr>
        <w:t>广东省韶关市曲江区大旺山矿区水泥用、建筑用石灰岩矿采矿权</w:t>
      </w:r>
      <w:r>
        <w:rPr>
          <w:rFonts w:eastAsia="黑体"/>
          <w:b/>
          <w:bCs/>
          <w:color w:val="auto"/>
          <w:sz w:val="44"/>
          <w:szCs w:val="44"/>
        </w:rPr>
        <w:t>出让合同</w:t>
      </w:r>
    </w:p>
    <w:p>
      <w:pPr>
        <w:spacing w:line="580" w:lineRule="exact"/>
        <w:ind w:firstLine="640" w:firstLineChars="200"/>
        <w:rPr>
          <w:rFonts w:eastAsia="仿宋"/>
          <w:color w:val="auto"/>
          <w:kern w:val="21"/>
          <w:szCs w:val="32"/>
        </w:rPr>
      </w:pPr>
    </w:p>
    <w:p>
      <w:pPr>
        <w:spacing w:line="580" w:lineRule="exact"/>
        <w:ind w:firstLine="640" w:firstLineChars="200"/>
        <w:rPr>
          <w:rFonts w:eastAsia="仿宋"/>
          <w:color w:val="auto"/>
          <w:kern w:val="21"/>
          <w:szCs w:val="32"/>
        </w:rPr>
      </w:pPr>
      <w:r>
        <w:rPr>
          <w:rFonts w:eastAsia="仿宋"/>
          <w:color w:val="auto"/>
          <w:kern w:val="21"/>
          <w:szCs w:val="32"/>
        </w:rPr>
        <w:t>根据《中华人民共和国矿产资源法》</w:t>
      </w:r>
      <w:r>
        <w:rPr>
          <w:bCs/>
          <w:color w:val="auto"/>
        </w:rPr>
        <w:t>《中华人民共和国民法典》</w:t>
      </w:r>
      <w:r>
        <w:rPr>
          <w:rFonts w:eastAsia="仿宋"/>
          <w:color w:val="auto"/>
          <w:kern w:val="21"/>
          <w:szCs w:val="32"/>
        </w:rPr>
        <w:t>《矿产资源开采登记管理办法》《矿业权出让收益征收管理暂行办法》《矿业权出让制度改革方案》《关于完善矿产资源开采审批登记管理有关事项的通知》《矿业权交易规则》等相关规定，甲乙双方经协商一致订立本合同。</w:t>
      </w:r>
    </w:p>
    <w:p>
      <w:pPr>
        <w:spacing w:line="580" w:lineRule="exact"/>
        <w:ind w:firstLine="640" w:firstLineChars="200"/>
        <w:rPr>
          <w:rFonts w:eastAsia="仿宋"/>
          <w:color w:val="auto"/>
          <w:kern w:val="21"/>
          <w:szCs w:val="32"/>
        </w:rPr>
      </w:pPr>
      <w:r>
        <w:rPr>
          <w:rFonts w:eastAsia="黑体"/>
          <w:color w:val="auto"/>
          <w:kern w:val="21"/>
          <w:szCs w:val="32"/>
        </w:rPr>
        <w:t>第一条</w:t>
      </w:r>
      <w:r>
        <w:rPr>
          <w:rFonts w:eastAsia="仿宋"/>
          <w:color w:val="auto"/>
          <w:kern w:val="21"/>
          <w:szCs w:val="32"/>
        </w:rPr>
        <w:t>　采矿权基本情况</w:t>
      </w:r>
    </w:p>
    <w:p>
      <w:pPr>
        <w:spacing w:line="580" w:lineRule="exact"/>
        <w:ind w:firstLine="640" w:firstLineChars="200"/>
        <w:rPr>
          <w:color w:val="auto"/>
          <w:kern w:val="21"/>
          <w:szCs w:val="32"/>
          <w:u w:val="single"/>
        </w:rPr>
      </w:pPr>
      <w:r>
        <w:rPr>
          <w:rFonts w:eastAsia="仿宋"/>
          <w:color w:val="auto"/>
          <w:kern w:val="21"/>
          <w:szCs w:val="32"/>
        </w:rPr>
        <w:t>（一）项目名称：</w:t>
      </w:r>
      <w:r>
        <w:rPr>
          <w:rFonts w:hint="eastAsia" w:ascii="仿宋_GB2312" w:hAnsi="仿宋_GB2312" w:cs="仿宋_GB2312"/>
          <w:bCs/>
          <w:color w:val="auto"/>
          <w:szCs w:val="32"/>
        </w:rPr>
        <w:t>广东省韶关市曲江区大旺山矿区水泥用、建筑用石灰岩矿采矿权</w:t>
      </w:r>
      <w:r>
        <w:rPr>
          <w:color w:val="auto"/>
          <w:szCs w:val="32"/>
        </w:rPr>
        <w:t>。</w:t>
      </w:r>
    </w:p>
    <w:p>
      <w:pPr>
        <w:spacing w:line="580" w:lineRule="exact"/>
        <w:ind w:firstLine="640" w:firstLineChars="200"/>
        <w:rPr>
          <w:color w:val="auto"/>
          <w:kern w:val="21"/>
          <w:szCs w:val="32"/>
        </w:rPr>
      </w:pPr>
      <w:r>
        <w:rPr>
          <w:rFonts w:eastAsia="仿宋"/>
          <w:color w:val="auto"/>
          <w:kern w:val="21"/>
          <w:szCs w:val="32"/>
        </w:rPr>
        <w:t>（二）矿　　种：</w:t>
      </w:r>
      <w:r>
        <w:rPr>
          <w:rFonts w:hint="eastAsia" w:eastAsia="仿宋"/>
          <w:bCs/>
          <w:color w:val="auto"/>
          <w:szCs w:val="32"/>
        </w:rPr>
        <w:t>水泥用、建筑用石灰岩</w:t>
      </w:r>
      <w:r>
        <w:rPr>
          <w:color w:val="auto"/>
          <w:szCs w:val="32"/>
        </w:rPr>
        <w:t>。</w:t>
      </w:r>
    </w:p>
    <w:p>
      <w:pPr>
        <w:spacing w:line="580" w:lineRule="exact"/>
        <w:ind w:firstLine="640" w:firstLineChars="200"/>
        <w:rPr>
          <w:rFonts w:eastAsia="仿宋"/>
          <w:bCs/>
          <w:color w:val="auto"/>
          <w:szCs w:val="32"/>
        </w:rPr>
      </w:pPr>
      <w:r>
        <w:rPr>
          <w:rFonts w:eastAsia="仿宋"/>
          <w:color w:val="auto"/>
          <w:kern w:val="21"/>
          <w:szCs w:val="32"/>
        </w:rPr>
        <w:t>（三）地理位置：</w:t>
      </w:r>
      <w:r>
        <w:rPr>
          <w:rFonts w:hint="eastAsia" w:eastAsia="仿宋"/>
          <w:bCs/>
          <w:color w:val="auto"/>
          <w:szCs w:val="32"/>
        </w:rPr>
        <w:t>韶关市曲江区乌石镇，采场（矿区）中心点地理坐标为：东经113°38′25″，北纬24°31′25″</w:t>
      </w:r>
      <w:r>
        <w:rPr>
          <w:rFonts w:eastAsia="仿宋"/>
          <w:bCs/>
          <w:color w:val="auto"/>
          <w:szCs w:val="32"/>
        </w:rPr>
        <w:t>。</w:t>
      </w:r>
    </w:p>
    <w:p>
      <w:pPr>
        <w:spacing w:line="580" w:lineRule="exact"/>
        <w:ind w:firstLine="640" w:firstLineChars="200"/>
        <w:rPr>
          <w:rFonts w:eastAsia="仿宋"/>
          <w:bCs/>
          <w:color w:val="auto"/>
          <w:szCs w:val="32"/>
        </w:rPr>
      </w:pPr>
      <w:r>
        <w:rPr>
          <w:rFonts w:eastAsia="仿宋"/>
          <w:bCs/>
          <w:color w:val="auto"/>
          <w:szCs w:val="32"/>
        </w:rPr>
        <w:t>（四）资源储量：</w:t>
      </w:r>
    </w:p>
    <w:p>
      <w:pPr>
        <w:spacing w:line="580" w:lineRule="exact"/>
        <w:ind w:firstLine="640" w:firstLineChars="200"/>
        <w:rPr>
          <w:rFonts w:eastAsia="仿宋"/>
          <w:bCs/>
          <w:color w:val="auto"/>
          <w:szCs w:val="32"/>
        </w:rPr>
      </w:pPr>
      <w:r>
        <w:rPr>
          <w:rFonts w:hint="eastAsia" w:eastAsia="仿宋"/>
          <w:bCs/>
          <w:color w:val="auto"/>
          <w:szCs w:val="32"/>
        </w:rPr>
        <w:t>1.水泥用石灰岩矿：资源量5383.51万立方米（控制+推断），其中控制资源量2899.01万立方米，推断资源量2484.50万立方米。</w:t>
      </w:r>
    </w:p>
    <w:p>
      <w:pPr>
        <w:spacing w:line="580" w:lineRule="exact"/>
        <w:ind w:firstLine="640" w:firstLineChars="200"/>
        <w:rPr>
          <w:rFonts w:eastAsia="仿宋"/>
          <w:bCs/>
          <w:color w:val="auto"/>
          <w:szCs w:val="32"/>
        </w:rPr>
      </w:pPr>
      <w:r>
        <w:rPr>
          <w:rFonts w:hint="eastAsia" w:eastAsia="仿宋"/>
          <w:bCs/>
          <w:color w:val="auto"/>
          <w:szCs w:val="32"/>
        </w:rPr>
        <w:t>2.建筑用石灰岩矿：资源量5236.73万立方米（控制+推断），其中控制资源量2920.28万立方米，推断资源量2316.45万立方米。</w:t>
      </w:r>
    </w:p>
    <w:p>
      <w:pPr>
        <w:spacing w:line="580" w:lineRule="exact"/>
        <w:ind w:firstLine="640" w:firstLineChars="200"/>
        <w:rPr>
          <w:rFonts w:eastAsia="仿宋"/>
          <w:bCs/>
          <w:color w:val="auto"/>
          <w:szCs w:val="32"/>
        </w:rPr>
      </w:pPr>
      <w:r>
        <w:rPr>
          <w:rFonts w:hint="eastAsia" w:eastAsia="仿宋"/>
          <w:bCs/>
          <w:color w:val="auto"/>
          <w:szCs w:val="32"/>
        </w:rPr>
        <w:t>根据经评审通过的《矿产资源开发利用方案》，拟设矿区剥采比为0.03∶1，确定的可采储量如下：可采剥总量Q1=9666.55万立方米。</w:t>
      </w:r>
      <w:r>
        <w:rPr>
          <w:rFonts w:eastAsia="仿宋"/>
          <w:bCs/>
          <w:color w:val="auto"/>
          <w:szCs w:val="32"/>
        </w:rPr>
        <w:t>露天开采境界内圈定的理论可采剥总量 Q1 =9666.55×10⁴m</w:t>
      </w:r>
      <w:r>
        <w:rPr>
          <w:rFonts w:hint="eastAsia" w:ascii="宋体" w:hAnsi="宋体" w:eastAsia="宋体" w:cs="宋体"/>
          <w:bCs/>
          <w:color w:val="auto"/>
          <w:szCs w:val="32"/>
        </w:rPr>
        <w:t>³</w:t>
      </w:r>
      <w:r>
        <w:rPr>
          <w:rFonts w:eastAsia="仿宋"/>
          <w:bCs/>
          <w:color w:val="auto"/>
          <w:szCs w:val="32"/>
        </w:rPr>
        <w:t>，其中表土层剥离量为 239.1×10⁴m</w:t>
      </w:r>
      <w:r>
        <w:rPr>
          <w:rFonts w:hint="eastAsia" w:ascii="宋体" w:hAnsi="宋体" w:eastAsia="宋体" w:cs="宋体"/>
          <w:bCs/>
          <w:color w:val="auto"/>
          <w:szCs w:val="32"/>
        </w:rPr>
        <w:t>³</w:t>
      </w:r>
      <w:r>
        <w:rPr>
          <w:rFonts w:eastAsia="仿宋"/>
          <w:bCs/>
          <w:color w:val="auto"/>
          <w:szCs w:val="32"/>
        </w:rPr>
        <w:t>，可采剥矿石（水泥用石灰岩矿+建筑用石灰岩）总量为 9427.45×10⁴m</w:t>
      </w:r>
      <w:r>
        <w:rPr>
          <w:rFonts w:hint="eastAsia" w:ascii="宋体" w:hAnsi="宋体" w:eastAsia="宋体" w:cs="宋体"/>
          <w:bCs/>
          <w:color w:val="auto"/>
          <w:szCs w:val="32"/>
        </w:rPr>
        <w:t>³</w:t>
      </w:r>
      <w:r>
        <w:rPr>
          <w:rFonts w:eastAsia="仿宋"/>
          <w:bCs/>
          <w:color w:val="auto"/>
          <w:szCs w:val="32"/>
        </w:rPr>
        <w:t>； 资源利用率为89%，开采损失率为2%。</w:t>
      </w:r>
    </w:p>
    <w:p>
      <w:pPr>
        <w:spacing w:line="580" w:lineRule="exact"/>
        <w:ind w:firstLine="640" w:firstLineChars="200"/>
        <w:rPr>
          <w:color w:val="auto"/>
          <w:kern w:val="21"/>
          <w:szCs w:val="32"/>
        </w:rPr>
      </w:pPr>
      <w:r>
        <w:rPr>
          <w:rFonts w:eastAsia="仿宋"/>
          <w:color w:val="auto"/>
          <w:kern w:val="21"/>
          <w:szCs w:val="32"/>
        </w:rPr>
        <w:t>（五）面　　积：</w:t>
      </w:r>
      <w:r>
        <w:rPr>
          <w:rFonts w:hint="eastAsia" w:eastAsia="仿宋"/>
          <w:bCs/>
          <w:color w:val="auto"/>
          <w:spacing w:val="-12"/>
          <w:kern w:val="0"/>
          <w:szCs w:val="32"/>
        </w:rPr>
        <w:t>0.996</w:t>
      </w:r>
      <w:r>
        <w:rPr>
          <w:bCs/>
          <w:color w:val="auto"/>
          <w:spacing w:val="-12"/>
          <w:kern w:val="0"/>
          <w:szCs w:val="32"/>
        </w:rPr>
        <w:t>平方公里</w:t>
      </w:r>
      <w:r>
        <w:rPr>
          <w:rFonts w:hint="eastAsia" w:ascii="楷体_GB2312" w:hAnsi="楷体_GB2312" w:eastAsia="楷体_GB2312" w:cs="楷体_GB2312"/>
          <w:color w:val="auto"/>
        </w:rPr>
        <w:t>（1493.47亩）</w:t>
      </w:r>
      <w:r>
        <w:rPr>
          <w:bCs/>
          <w:color w:val="auto"/>
          <w:spacing w:val="-12"/>
          <w:kern w:val="0"/>
          <w:szCs w:val="32"/>
        </w:rPr>
        <w:t>。</w:t>
      </w:r>
    </w:p>
    <w:p>
      <w:pPr>
        <w:spacing w:line="580" w:lineRule="exact"/>
        <w:ind w:firstLine="640" w:firstLineChars="200"/>
        <w:rPr>
          <w:rFonts w:eastAsia="仿宋"/>
          <w:color w:val="auto"/>
          <w:kern w:val="21"/>
          <w:szCs w:val="32"/>
        </w:rPr>
      </w:pPr>
      <w:r>
        <w:rPr>
          <w:rFonts w:eastAsia="仿宋"/>
          <w:color w:val="auto"/>
          <w:kern w:val="21"/>
          <w:szCs w:val="32"/>
        </w:rPr>
        <w:t>（六）范围坐标（2000国家大地坐标系）：</w:t>
      </w:r>
    </w:p>
    <w:tbl>
      <w:tblPr>
        <w:tblStyle w:val="8"/>
        <w:tblW w:w="7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2897"/>
        <w:gridCol w:w="3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55" w:type="dxa"/>
            <w:vMerge w:val="restart"/>
            <w:vAlign w:val="center"/>
          </w:tcPr>
          <w:p>
            <w:pPr>
              <w:adjustRightInd w:val="0"/>
              <w:snapToGrid w:val="0"/>
              <w:spacing w:line="240" w:lineRule="exact"/>
              <w:jc w:val="center"/>
              <w:rPr>
                <w:color w:val="auto"/>
                <w:sz w:val="24"/>
              </w:rPr>
            </w:pPr>
            <w:r>
              <w:rPr>
                <w:color w:val="auto"/>
                <w:sz w:val="24"/>
              </w:rPr>
              <w:t>拐点</w:t>
            </w:r>
          </w:p>
          <w:p>
            <w:pPr>
              <w:adjustRightInd w:val="0"/>
              <w:snapToGrid w:val="0"/>
              <w:spacing w:line="240" w:lineRule="exact"/>
              <w:jc w:val="center"/>
              <w:rPr>
                <w:color w:val="auto"/>
                <w:sz w:val="24"/>
              </w:rPr>
            </w:pPr>
            <w:r>
              <w:rPr>
                <w:color w:val="auto"/>
                <w:sz w:val="24"/>
              </w:rPr>
              <w:t>编号</w:t>
            </w:r>
          </w:p>
        </w:tc>
        <w:tc>
          <w:tcPr>
            <w:tcW w:w="6295" w:type="dxa"/>
            <w:gridSpan w:val="2"/>
            <w:vAlign w:val="center"/>
          </w:tcPr>
          <w:p>
            <w:pPr>
              <w:adjustRightInd w:val="0"/>
              <w:snapToGrid w:val="0"/>
              <w:spacing w:line="240" w:lineRule="exact"/>
              <w:ind w:firstLine="480" w:firstLineChars="200"/>
              <w:jc w:val="center"/>
              <w:rPr>
                <w:color w:val="auto"/>
                <w:sz w:val="24"/>
              </w:rPr>
            </w:pPr>
            <w:r>
              <w:rPr>
                <w:color w:val="auto"/>
                <w:sz w:val="24"/>
              </w:rPr>
              <w:t>国家2000坐标系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55" w:type="dxa"/>
            <w:vMerge w:val="continue"/>
            <w:vAlign w:val="center"/>
          </w:tcPr>
          <w:p>
            <w:pPr>
              <w:adjustRightInd w:val="0"/>
              <w:snapToGrid w:val="0"/>
              <w:spacing w:line="240" w:lineRule="exact"/>
              <w:ind w:firstLine="480" w:firstLineChars="200"/>
              <w:jc w:val="center"/>
              <w:rPr>
                <w:color w:val="auto"/>
                <w:sz w:val="24"/>
              </w:rPr>
            </w:pPr>
          </w:p>
        </w:tc>
        <w:tc>
          <w:tcPr>
            <w:tcW w:w="2897" w:type="dxa"/>
            <w:vAlign w:val="center"/>
          </w:tcPr>
          <w:p>
            <w:pPr>
              <w:adjustRightInd w:val="0"/>
              <w:snapToGrid w:val="0"/>
              <w:spacing w:line="240" w:lineRule="exact"/>
              <w:ind w:firstLine="480" w:firstLineChars="200"/>
              <w:jc w:val="center"/>
              <w:rPr>
                <w:color w:val="auto"/>
                <w:sz w:val="24"/>
              </w:rPr>
            </w:pPr>
            <w:r>
              <w:rPr>
                <w:color w:val="auto"/>
                <w:sz w:val="24"/>
              </w:rPr>
              <w:t>X</w:t>
            </w:r>
          </w:p>
        </w:tc>
        <w:tc>
          <w:tcPr>
            <w:tcW w:w="3398" w:type="dxa"/>
            <w:vAlign w:val="center"/>
          </w:tcPr>
          <w:p>
            <w:pPr>
              <w:adjustRightInd w:val="0"/>
              <w:snapToGrid w:val="0"/>
              <w:spacing w:line="240" w:lineRule="exact"/>
              <w:ind w:firstLine="480" w:firstLineChars="200"/>
              <w:jc w:val="center"/>
              <w:rPr>
                <w:color w:val="auto"/>
                <w:sz w:val="24"/>
              </w:rPr>
            </w:pPr>
            <w:r>
              <w:rPr>
                <w:color w:val="auto"/>
                <w:sz w:val="24"/>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55" w:type="dxa"/>
            <w:vAlign w:val="center"/>
          </w:tcPr>
          <w:p>
            <w:pPr>
              <w:adjustRightInd w:val="0"/>
              <w:snapToGrid w:val="0"/>
              <w:spacing w:line="240" w:lineRule="exact"/>
              <w:jc w:val="center"/>
              <w:rPr>
                <w:color w:val="auto"/>
                <w:sz w:val="24"/>
              </w:rPr>
            </w:pPr>
            <w:r>
              <w:rPr>
                <w:color w:val="auto"/>
                <w:sz w:val="24"/>
              </w:rPr>
              <w:t>1</w:t>
            </w:r>
          </w:p>
        </w:tc>
        <w:tc>
          <w:tcPr>
            <w:tcW w:w="2897" w:type="dxa"/>
            <w:vAlign w:val="center"/>
          </w:tcPr>
          <w:p>
            <w:pPr>
              <w:adjustRightInd w:val="0"/>
              <w:snapToGrid w:val="0"/>
              <w:spacing w:line="240" w:lineRule="exact"/>
              <w:jc w:val="center"/>
              <w:rPr>
                <w:color w:val="auto"/>
                <w:sz w:val="24"/>
              </w:rPr>
            </w:pPr>
            <w:r>
              <w:rPr>
                <w:rFonts w:hint="eastAsia"/>
                <w:color w:val="auto"/>
                <w:sz w:val="24"/>
              </w:rPr>
              <w:t>2714000.00</w:t>
            </w:r>
          </w:p>
        </w:tc>
        <w:tc>
          <w:tcPr>
            <w:tcW w:w="3398" w:type="dxa"/>
            <w:vAlign w:val="center"/>
          </w:tcPr>
          <w:p>
            <w:pPr>
              <w:adjustRightInd w:val="0"/>
              <w:snapToGrid w:val="0"/>
              <w:spacing w:line="240" w:lineRule="exact"/>
              <w:jc w:val="center"/>
              <w:rPr>
                <w:color w:val="auto"/>
                <w:sz w:val="24"/>
              </w:rPr>
            </w:pPr>
            <w:r>
              <w:rPr>
                <w:rFonts w:hint="eastAsia"/>
                <w:color w:val="auto"/>
                <w:sz w:val="24"/>
              </w:rPr>
              <w:t>38462492.77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55" w:type="dxa"/>
            <w:vAlign w:val="center"/>
          </w:tcPr>
          <w:p>
            <w:pPr>
              <w:adjustRightInd w:val="0"/>
              <w:snapToGrid w:val="0"/>
              <w:spacing w:line="240" w:lineRule="exact"/>
              <w:jc w:val="center"/>
              <w:rPr>
                <w:color w:val="auto"/>
                <w:sz w:val="24"/>
              </w:rPr>
            </w:pPr>
            <w:r>
              <w:rPr>
                <w:color w:val="auto"/>
                <w:sz w:val="24"/>
              </w:rPr>
              <w:t>2</w:t>
            </w:r>
          </w:p>
        </w:tc>
        <w:tc>
          <w:tcPr>
            <w:tcW w:w="2897" w:type="dxa"/>
            <w:vAlign w:val="center"/>
          </w:tcPr>
          <w:p>
            <w:pPr>
              <w:adjustRightInd w:val="0"/>
              <w:snapToGrid w:val="0"/>
              <w:spacing w:line="240" w:lineRule="exact"/>
              <w:jc w:val="center"/>
              <w:rPr>
                <w:color w:val="auto"/>
                <w:sz w:val="24"/>
              </w:rPr>
            </w:pPr>
            <w:r>
              <w:rPr>
                <w:rFonts w:hint="eastAsia"/>
                <w:color w:val="auto"/>
                <w:sz w:val="24"/>
              </w:rPr>
              <w:t>2713969.37</w:t>
            </w:r>
          </w:p>
        </w:tc>
        <w:tc>
          <w:tcPr>
            <w:tcW w:w="3398" w:type="dxa"/>
            <w:vAlign w:val="center"/>
          </w:tcPr>
          <w:p>
            <w:pPr>
              <w:adjustRightInd w:val="0"/>
              <w:snapToGrid w:val="0"/>
              <w:spacing w:line="240" w:lineRule="exact"/>
              <w:jc w:val="center"/>
              <w:rPr>
                <w:color w:val="auto"/>
                <w:sz w:val="24"/>
              </w:rPr>
            </w:pPr>
            <w:r>
              <w:rPr>
                <w:rFonts w:hint="eastAsia"/>
                <w:color w:val="auto"/>
                <w:sz w:val="24"/>
              </w:rPr>
              <w:t>38462606.41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55" w:type="dxa"/>
            <w:vAlign w:val="center"/>
          </w:tcPr>
          <w:p>
            <w:pPr>
              <w:adjustRightInd w:val="0"/>
              <w:snapToGrid w:val="0"/>
              <w:spacing w:line="240" w:lineRule="exact"/>
              <w:jc w:val="center"/>
              <w:rPr>
                <w:color w:val="auto"/>
                <w:sz w:val="24"/>
              </w:rPr>
            </w:pPr>
            <w:r>
              <w:rPr>
                <w:color w:val="auto"/>
                <w:sz w:val="24"/>
              </w:rPr>
              <w:t>3</w:t>
            </w:r>
          </w:p>
        </w:tc>
        <w:tc>
          <w:tcPr>
            <w:tcW w:w="2897" w:type="dxa"/>
            <w:vAlign w:val="center"/>
          </w:tcPr>
          <w:p>
            <w:pPr>
              <w:adjustRightInd w:val="0"/>
              <w:snapToGrid w:val="0"/>
              <w:spacing w:line="240" w:lineRule="exact"/>
              <w:jc w:val="center"/>
              <w:rPr>
                <w:color w:val="auto"/>
                <w:sz w:val="24"/>
              </w:rPr>
            </w:pPr>
            <w:r>
              <w:rPr>
                <w:rFonts w:hint="eastAsia"/>
                <w:color w:val="auto"/>
                <w:sz w:val="24"/>
              </w:rPr>
              <w:t>2714029.67</w:t>
            </w:r>
          </w:p>
        </w:tc>
        <w:tc>
          <w:tcPr>
            <w:tcW w:w="3398" w:type="dxa"/>
            <w:vAlign w:val="center"/>
          </w:tcPr>
          <w:p>
            <w:pPr>
              <w:adjustRightInd w:val="0"/>
              <w:snapToGrid w:val="0"/>
              <w:spacing w:line="240" w:lineRule="exact"/>
              <w:jc w:val="center"/>
              <w:rPr>
                <w:color w:val="auto"/>
                <w:sz w:val="24"/>
              </w:rPr>
            </w:pPr>
            <w:r>
              <w:rPr>
                <w:rFonts w:hint="eastAsia"/>
                <w:color w:val="auto"/>
                <w:sz w:val="24"/>
              </w:rPr>
              <w:t>38462794.53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55" w:type="dxa"/>
            <w:vAlign w:val="center"/>
          </w:tcPr>
          <w:p>
            <w:pPr>
              <w:adjustRightInd w:val="0"/>
              <w:snapToGrid w:val="0"/>
              <w:spacing w:line="240" w:lineRule="exact"/>
              <w:jc w:val="center"/>
              <w:rPr>
                <w:color w:val="auto"/>
                <w:sz w:val="24"/>
              </w:rPr>
            </w:pPr>
            <w:r>
              <w:rPr>
                <w:color w:val="auto"/>
                <w:sz w:val="24"/>
              </w:rPr>
              <w:t>4</w:t>
            </w:r>
          </w:p>
        </w:tc>
        <w:tc>
          <w:tcPr>
            <w:tcW w:w="2897" w:type="dxa"/>
            <w:vAlign w:val="center"/>
          </w:tcPr>
          <w:p>
            <w:pPr>
              <w:adjustRightInd w:val="0"/>
              <w:snapToGrid w:val="0"/>
              <w:spacing w:line="240" w:lineRule="exact"/>
              <w:jc w:val="center"/>
              <w:rPr>
                <w:color w:val="auto"/>
                <w:sz w:val="24"/>
              </w:rPr>
            </w:pPr>
            <w:r>
              <w:rPr>
                <w:rFonts w:hint="eastAsia"/>
                <w:color w:val="auto"/>
                <w:sz w:val="24"/>
              </w:rPr>
              <w:t>2714172.22</w:t>
            </w:r>
          </w:p>
        </w:tc>
        <w:tc>
          <w:tcPr>
            <w:tcW w:w="3398" w:type="dxa"/>
            <w:vAlign w:val="center"/>
          </w:tcPr>
          <w:p>
            <w:pPr>
              <w:adjustRightInd w:val="0"/>
              <w:snapToGrid w:val="0"/>
              <w:spacing w:line="240" w:lineRule="exact"/>
              <w:jc w:val="center"/>
              <w:rPr>
                <w:color w:val="auto"/>
                <w:sz w:val="24"/>
              </w:rPr>
            </w:pPr>
            <w:r>
              <w:rPr>
                <w:rFonts w:hint="eastAsia"/>
                <w:color w:val="auto"/>
                <w:sz w:val="24"/>
              </w:rPr>
              <w:t>38463009.10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55" w:type="dxa"/>
            <w:vAlign w:val="center"/>
          </w:tcPr>
          <w:p>
            <w:pPr>
              <w:adjustRightInd w:val="0"/>
              <w:snapToGrid w:val="0"/>
              <w:spacing w:line="240" w:lineRule="exact"/>
              <w:jc w:val="center"/>
              <w:rPr>
                <w:color w:val="auto"/>
                <w:sz w:val="24"/>
              </w:rPr>
            </w:pPr>
            <w:r>
              <w:rPr>
                <w:color w:val="auto"/>
                <w:sz w:val="24"/>
              </w:rPr>
              <w:t>5</w:t>
            </w:r>
          </w:p>
        </w:tc>
        <w:tc>
          <w:tcPr>
            <w:tcW w:w="2897" w:type="dxa"/>
            <w:vAlign w:val="center"/>
          </w:tcPr>
          <w:p>
            <w:pPr>
              <w:adjustRightInd w:val="0"/>
              <w:snapToGrid w:val="0"/>
              <w:spacing w:line="240" w:lineRule="exact"/>
              <w:jc w:val="center"/>
              <w:rPr>
                <w:color w:val="auto"/>
                <w:sz w:val="24"/>
              </w:rPr>
            </w:pPr>
            <w:r>
              <w:rPr>
                <w:rFonts w:hint="eastAsia"/>
                <w:color w:val="auto"/>
                <w:sz w:val="24"/>
              </w:rPr>
              <w:t>2714299.17</w:t>
            </w:r>
          </w:p>
        </w:tc>
        <w:tc>
          <w:tcPr>
            <w:tcW w:w="3398" w:type="dxa"/>
            <w:vAlign w:val="center"/>
          </w:tcPr>
          <w:p>
            <w:pPr>
              <w:adjustRightInd w:val="0"/>
              <w:snapToGrid w:val="0"/>
              <w:spacing w:line="240" w:lineRule="exact"/>
              <w:jc w:val="center"/>
              <w:rPr>
                <w:color w:val="auto"/>
                <w:sz w:val="24"/>
              </w:rPr>
            </w:pPr>
            <w:r>
              <w:rPr>
                <w:rFonts w:hint="eastAsia"/>
                <w:color w:val="auto"/>
                <w:sz w:val="24"/>
              </w:rPr>
              <w:t>38463136.07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55" w:type="dxa"/>
            <w:vAlign w:val="center"/>
          </w:tcPr>
          <w:p>
            <w:pPr>
              <w:adjustRightInd w:val="0"/>
              <w:snapToGrid w:val="0"/>
              <w:spacing w:line="240" w:lineRule="exact"/>
              <w:jc w:val="center"/>
              <w:rPr>
                <w:color w:val="auto"/>
                <w:sz w:val="24"/>
              </w:rPr>
            </w:pPr>
            <w:r>
              <w:rPr>
                <w:color w:val="auto"/>
                <w:sz w:val="24"/>
              </w:rPr>
              <w:t>6</w:t>
            </w:r>
          </w:p>
        </w:tc>
        <w:tc>
          <w:tcPr>
            <w:tcW w:w="2897" w:type="dxa"/>
            <w:vAlign w:val="center"/>
          </w:tcPr>
          <w:p>
            <w:pPr>
              <w:adjustRightInd w:val="0"/>
              <w:snapToGrid w:val="0"/>
              <w:spacing w:line="240" w:lineRule="exact"/>
              <w:jc w:val="center"/>
              <w:rPr>
                <w:color w:val="auto"/>
                <w:sz w:val="24"/>
              </w:rPr>
            </w:pPr>
            <w:r>
              <w:rPr>
                <w:rFonts w:hint="eastAsia"/>
                <w:color w:val="auto"/>
                <w:sz w:val="24"/>
              </w:rPr>
              <w:t>2714295.28</w:t>
            </w:r>
          </w:p>
        </w:tc>
        <w:tc>
          <w:tcPr>
            <w:tcW w:w="3398" w:type="dxa"/>
            <w:vAlign w:val="center"/>
          </w:tcPr>
          <w:p>
            <w:pPr>
              <w:adjustRightInd w:val="0"/>
              <w:snapToGrid w:val="0"/>
              <w:spacing w:line="240" w:lineRule="exact"/>
              <w:jc w:val="center"/>
              <w:rPr>
                <w:color w:val="auto"/>
                <w:sz w:val="24"/>
              </w:rPr>
            </w:pPr>
            <w:r>
              <w:rPr>
                <w:rFonts w:hint="eastAsia"/>
                <w:color w:val="auto"/>
                <w:sz w:val="24"/>
              </w:rPr>
              <w:t>38463141.54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55" w:type="dxa"/>
            <w:vAlign w:val="center"/>
          </w:tcPr>
          <w:p>
            <w:pPr>
              <w:adjustRightInd w:val="0"/>
              <w:snapToGrid w:val="0"/>
              <w:spacing w:line="240" w:lineRule="exact"/>
              <w:jc w:val="center"/>
              <w:rPr>
                <w:color w:val="auto"/>
                <w:sz w:val="24"/>
              </w:rPr>
            </w:pPr>
            <w:r>
              <w:rPr>
                <w:color w:val="auto"/>
                <w:sz w:val="24"/>
              </w:rPr>
              <w:t>7</w:t>
            </w:r>
          </w:p>
        </w:tc>
        <w:tc>
          <w:tcPr>
            <w:tcW w:w="2897" w:type="dxa"/>
            <w:vAlign w:val="center"/>
          </w:tcPr>
          <w:p>
            <w:pPr>
              <w:adjustRightInd w:val="0"/>
              <w:snapToGrid w:val="0"/>
              <w:spacing w:line="240" w:lineRule="exact"/>
              <w:jc w:val="center"/>
              <w:rPr>
                <w:color w:val="auto"/>
                <w:sz w:val="24"/>
              </w:rPr>
            </w:pPr>
            <w:r>
              <w:rPr>
                <w:rFonts w:hint="eastAsia"/>
                <w:color w:val="auto"/>
                <w:sz w:val="24"/>
              </w:rPr>
              <w:t>2714211.78</w:t>
            </w:r>
          </w:p>
        </w:tc>
        <w:tc>
          <w:tcPr>
            <w:tcW w:w="3398" w:type="dxa"/>
            <w:vAlign w:val="center"/>
          </w:tcPr>
          <w:p>
            <w:pPr>
              <w:adjustRightInd w:val="0"/>
              <w:snapToGrid w:val="0"/>
              <w:spacing w:line="240" w:lineRule="exact"/>
              <w:jc w:val="center"/>
              <w:rPr>
                <w:color w:val="auto"/>
                <w:sz w:val="24"/>
              </w:rPr>
            </w:pPr>
            <w:r>
              <w:rPr>
                <w:rFonts w:hint="eastAsia"/>
                <w:color w:val="auto"/>
                <w:sz w:val="24"/>
              </w:rPr>
              <w:t>38463493.97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55" w:type="dxa"/>
            <w:vAlign w:val="center"/>
          </w:tcPr>
          <w:p>
            <w:pPr>
              <w:adjustRightInd w:val="0"/>
              <w:snapToGrid w:val="0"/>
              <w:spacing w:line="240" w:lineRule="exact"/>
              <w:jc w:val="center"/>
              <w:rPr>
                <w:color w:val="auto"/>
                <w:sz w:val="24"/>
              </w:rPr>
            </w:pPr>
            <w:r>
              <w:rPr>
                <w:color w:val="auto"/>
                <w:sz w:val="24"/>
              </w:rPr>
              <w:t>8</w:t>
            </w:r>
          </w:p>
        </w:tc>
        <w:tc>
          <w:tcPr>
            <w:tcW w:w="2897" w:type="dxa"/>
            <w:vAlign w:val="center"/>
          </w:tcPr>
          <w:p>
            <w:pPr>
              <w:adjustRightInd w:val="0"/>
              <w:snapToGrid w:val="0"/>
              <w:spacing w:line="240" w:lineRule="exact"/>
              <w:jc w:val="center"/>
              <w:rPr>
                <w:color w:val="auto"/>
                <w:sz w:val="24"/>
              </w:rPr>
            </w:pPr>
            <w:r>
              <w:rPr>
                <w:rFonts w:hint="eastAsia"/>
                <w:color w:val="auto"/>
                <w:sz w:val="24"/>
              </w:rPr>
              <w:t>2713839.99</w:t>
            </w:r>
          </w:p>
        </w:tc>
        <w:tc>
          <w:tcPr>
            <w:tcW w:w="3398" w:type="dxa"/>
            <w:vAlign w:val="center"/>
          </w:tcPr>
          <w:p>
            <w:pPr>
              <w:adjustRightInd w:val="0"/>
              <w:snapToGrid w:val="0"/>
              <w:spacing w:line="240" w:lineRule="exact"/>
              <w:jc w:val="center"/>
              <w:rPr>
                <w:color w:val="auto"/>
                <w:sz w:val="24"/>
              </w:rPr>
            </w:pPr>
            <w:r>
              <w:rPr>
                <w:rFonts w:hint="eastAsia"/>
                <w:color w:val="auto"/>
                <w:sz w:val="24"/>
              </w:rPr>
              <w:t>38463367.26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55" w:type="dxa"/>
            <w:vAlign w:val="center"/>
          </w:tcPr>
          <w:p>
            <w:pPr>
              <w:adjustRightInd w:val="0"/>
              <w:snapToGrid w:val="0"/>
              <w:spacing w:line="240" w:lineRule="exact"/>
              <w:jc w:val="center"/>
              <w:rPr>
                <w:color w:val="auto"/>
                <w:sz w:val="24"/>
              </w:rPr>
            </w:pPr>
            <w:r>
              <w:rPr>
                <w:rFonts w:hint="eastAsia"/>
                <w:color w:val="auto"/>
                <w:sz w:val="24"/>
              </w:rPr>
              <w:t>9</w:t>
            </w:r>
          </w:p>
        </w:tc>
        <w:tc>
          <w:tcPr>
            <w:tcW w:w="2897" w:type="dxa"/>
            <w:vAlign w:val="center"/>
          </w:tcPr>
          <w:p>
            <w:pPr>
              <w:adjustRightInd w:val="0"/>
              <w:snapToGrid w:val="0"/>
              <w:spacing w:line="240" w:lineRule="exact"/>
              <w:jc w:val="center"/>
              <w:rPr>
                <w:color w:val="auto"/>
                <w:sz w:val="24"/>
              </w:rPr>
            </w:pPr>
            <w:r>
              <w:rPr>
                <w:rFonts w:hint="eastAsia"/>
                <w:color w:val="auto"/>
                <w:sz w:val="24"/>
              </w:rPr>
              <w:t>2713784.86</w:t>
            </w:r>
          </w:p>
        </w:tc>
        <w:tc>
          <w:tcPr>
            <w:tcW w:w="3398" w:type="dxa"/>
            <w:vAlign w:val="center"/>
          </w:tcPr>
          <w:p>
            <w:pPr>
              <w:adjustRightInd w:val="0"/>
              <w:snapToGrid w:val="0"/>
              <w:spacing w:line="240" w:lineRule="exact"/>
              <w:jc w:val="center"/>
              <w:rPr>
                <w:color w:val="auto"/>
                <w:sz w:val="24"/>
              </w:rPr>
            </w:pPr>
            <w:r>
              <w:rPr>
                <w:rFonts w:hint="eastAsia"/>
                <w:color w:val="auto"/>
                <w:sz w:val="24"/>
              </w:rPr>
              <w:t>38463434.74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55" w:type="dxa"/>
            <w:vAlign w:val="center"/>
          </w:tcPr>
          <w:p>
            <w:pPr>
              <w:adjustRightInd w:val="0"/>
              <w:snapToGrid w:val="0"/>
              <w:spacing w:line="240" w:lineRule="exact"/>
              <w:jc w:val="center"/>
              <w:rPr>
                <w:color w:val="auto"/>
                <w:sz w:val="24"/>
              </w:rPr>
            </w:pPr>
            <w:r>
              <w:rPr>
                <w:rFonts w:hint="eastAsia"/>
                <w:color w:val="auto"/>
                <w:sz w:val="24"/>
              </w:rPr>
              <w:t>10</w:t>
            </w:r>
          </w:p>
        </w:tc>
        <w:tc>
          <w:tcPr>
            <w:tcW w:w="2897" w:type="dxa"/>
            <w:vAlign w:val="center"/>
          </w:tcPr>
          <w:p>
            <w:pPr>
              <w:adjustRightInd w:val="0"/>
              <w:snapToGrid w:val="0"/>
              <w:spacing w:line="240" w:lineRule="exact"/>
              <w:jc w:val="center"/>
              <w:rPr>
                <w:color w:val="auto"/>
                <w:sz w:val="24"/>
              </w:rPr>
            </w:pPr>
            <w:r>
              <w:rPr>
                <w:rFonts w:hint="eastAsia"/>
                <w:color w:val="auto"/>
                <w:sz w:val="24"/>
              </w:rPr>
              <w:t>2713124.27</w:t>
            </w:r>
          </w:p>
        </w:tc>
        <w:tc>
          <w:tcPr>
            <w:tcW w:w="3398" w:type="dxa"/>
            <w:vAlign w:val="center"/>
          </w:tcPr>
          <w:p>
            <w:pPr>
              <w:adjustRightInd w:val="0"/>
              <w:snapToGrid w:val="0"/>
              <w:spacing w:line="240" w:lineRule="exact"/>
              <w:jc w:val="center"/>
              <w:rPr>
                <w:color w:val="auto"/>
                <w:sz w:val="24"/>
              </w:rPr>
            </w:pPr>
            <w:r>
              <w:rPr>
                <w:rFonts w:hint="eastAsia"/>
                <w:color w:val="auto"/>
                <w:sz w:val="24"/>
              </w:rPr>
              <w:t>38463331.30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55" w:type="dxa"/>
            <w:vAlign w:val="center"/>
          </w:tcPr>
          <w:p>
            <w:pPr>
              <w:adjustRightInd w:val="0"/>
              <w:snapToGrid w:val="0"/>
              <w:spacing w:line="240" w:lineRule="exact"/>
              <w:jc w:val="center"/>
              <w:rPr>
                <w:color w:val="auto"/>
                <w:sz w:val="24"/>
              </w:rPr>
            </w:pPr>
            <w:r>
              <w:rPr>
                <w:rFonts w:hint="eastAsia"/>
                <w:color w:val="auto"/>
                <w:sz w:val="24"/>
              </w:rPr>
              <w:t>11</w:t>
            </w:r>
          </w:p>
        </w:tc>
        <w:tc>
          <w:tcPr>
            <w:tcW w:w="2897" w:type="dxa"/>
            <w:vAlign w:val="center"/>
          </w:tcPr>
          <w:p>
            <w:pPr>
              <w:adjustRightInd w:val="0"/>
              <w:snapToGrid w:val="0"/>
              <w:spacing w:line="240" w:lineRule="exact"/>
              <w:jc w:val="center"/>
              <w:rPr>
                <w:color w:val="auto"/>
                <w:sz w:val="24"/>
              </w:rPr>
            </w:pPr>
            <w:r>
              <w:rPr>
                <w:rFonts w:hint="eastAsia"/>
                <w:color w:val="auto"/>
                <w:sz w:val="24"/>
              </w:rPr>
              <w:t>2713320.55</w:t>
            </w:r>
          </w:p>
        </w:tc>
        <w:tc>
          <w:tcPr>
            <w:tcW w:w="3398" w:type="dxa"/>
            <w:vAlign w:val="center"/>
          </w:tcPr>
          <w:p>
            <w:pPr>
              <w:adjustRightInd w:val="0"/>
              <w:snapToGrid w:val="0"/>
              <w:spacing w:line="240" w:lineRule="exact"/>
              <w:jc w:val="center"/>
              <w:rPr>
                <w:color w:val="auto"/>
                <w:sz w:val="24"/>
              </w:rPr>
            </w:pPr>
            <w:r>
              <w:rPr>
                <w:rFonts w:hint="eastAsia"/>
                <w:color w:val="auto"/>
                <w:sz w:val="24"/>
              </w:rPr>
              <w:t>38462199.19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55" w:type="dxa"/>
            <w:vAlign w:val="center"/>
          </w:tcPr>
          <w:p>
            <w:pPr>
              <w:adjustRightInd w:val="0"/>
              <w:snapToGrid w:val="0"/>
              <w:spacing w:line="240" w:lineRule="exact"/>
              <w:jc w:val="center"/>
              <w:rPr>
                <w:color w:val="auto"/>
                <w:sz w:val="24"/>
              </w:rPr>
            </w:pPr>
            <w:r>
              <w:rPr>
                <w:rFonts w:hint="eastAsia"/>
                <w:color w:val="auto"/>
                <w:sz w:val="24"/>
              </w:rPr>
              <w:t>12</w:t>
            </w:r>
          </w:p>
        </w:tc>
        <w:tc>
          <w:tcPr>
            <w:tcW w:w="2897" w:type="dxa"/>
            <w:vAlign w:val="center"/>
          </w:tcPr>
          <w:p>
            <w:pPr>
              <w:adjustRightInd w:val="0"/>
              <w:snapToGrid w:val="0"/>
              <w:spacing w:line="240" w:lineRule="exact"/>
              <w:jc w:val="center"/>
              <w:rPr>
                <w:color w:val="auto"/>
                <w:sz w:val="24"/>
              </w:rPr>
            </w:pPr>
            <w:r>
              <w:rPr>
                <w:rFonts w:hint="eastAsia"/>
                <w:color w:val="auto"/>
                <w:sz w:val="24"/>
              </w:rPr>
              <w:t>2713336.62</w:t>
            </w:r>
          </w:p>
        </w:tc>
        <w:tc>
          <w:tcPr>
            <w:tcW w:w="3398" w:type="dxa"/>
            <w:vAlign w:val="center"/>
          </w:tcPr>
          <w:p>
            <w:pPr>
              <w:adjustRightInd w:val="0"/>
              <w:snapToGrid w:val="0"/>
              <w:spacing w:line="240" w:lineRule="exact"/>
              <w:jc w:val="center"/>
              <w:rPr>
                <w:color w:val="auto"/>
                <w:sz w:val="24"/>
              </w:rPr>
            </w:pPr>
            <w:r>
              <w:rPr>
                <w:rFonts w:hint="eastAsia"/>
                <w:color w:val="auto"/>
                <w:sz w:val="24"/>
              </w:rPr>
              <w:t>38462106.50</w:t>
            </w:r>
          </w:p>
        </w:tc>
      </w:tr>
    </w:tbl>
    <w:p>
      <w:pPr>
        <w:spacing w:line="580" w:lineRule="exact"/>
        <w:ind w:firstLine="640" w:firstLineChars="200"/>
        <w:rPr>
          <w:color w:val="auto"/>
          <w:kern w:val="21"/>
          <w:szCs w:val="32"/>
        </w:rPr>
      </w:pPr>
      <w:r>
        <w:rPr>
          <w:rFonts w:eastAsia="仿宋"/>
          <w:color w:val="auto"/>
          <w:kern w:val="21"/>
          <w:szCs w:val="32"/>
        </w:rPr>
        <w:t>（七）开采标高：</w:t>
      </w:r>
      <w:r>
        <w:rPr>
          <w:rFonts w:hint="eastAsia" w:ascii="楷体_GB2312" w:hAnsi="楷体_GB2312" w:eastAsia="楷体_GB2312" w:cs="楷体_GB2312"/>
          <w:bCs/>
          <w:color w:val="auto"/>
        </w:rPr>
        <w:t>+456m至+105m</w:t>
      </w:r>
      <w:r>
        <w:rPr>
          <w:color w:val="auto"/>
          <w:szCs w:val="32"/>
        </w:rPr>
        <w:t>。</w:t>
      </w:r>
    </w:p>
    <w:p>
      <w:pPr>
        <w:spacing w:line="580" w:lineRule="exact"/>
        <w:ind w:firstLine="640" w:firstLineChars="200"/>
        <w:rPr>
          <w:rFonts w:eastAsia="仿宋"/>
          <w:color w:val="auto"/>
          <w:kern w:val="21"/>
          <w:szCs w:val="32"/>
        </w:rPr>
      </w:pPr>
      <w:r>
        <w:rPr>
          <w:rFonts w:eastAsia="黑体"/>
          <w:color w:val="auto"/>
          <w:kern w:val="21"/>
          <w:szCs w:val="32"/>
        </w:rPr>
        <w:t>第二条</w:t>
      </w:r>
      <w:r>
        <w:rPr>
          <w:rFonts w:eastAsia="仿宋"/>
          <w:color w:val="auto"/>
          <w:kern w:val="21"/>
          <w:szCs w:val="32"/>
        </w:rPr>
        <w:t>　出让方式</w:t>
      </w:r>
    </w:p>
    <w:p>
      <w:pPr>
        <w:spacing w:line="580" w:lineRule="exact"/>
        <w:ind w:firstLine="640" w:firstLineChars="200"/>
        <w:rPr>
          <w:rFonts w:eastAsia="仿宋"/>
          <w:bCs/>
          <w:color w:val="auto"/>
          <w:kern w:val="21"/>
          <w:szCs w:val="32"/>
        </w:rPr>
      </w:pPr>
      <w:r>
        <w:rPr>
          <w:rFonts w:eastAsia="仿宋"/>
          <w:bCs/>
          <w:color w:val="auto"/>
          <w:kern w:val="21"/>
          <w:szCs w:val="32"/>
        </w:rPr>
        <w:t>（一）采矿权以</w:t>
      </w:r>
      <w:r>
        <w:rPr>
          <w:rFonts w:eastAsia="仿宋"/>
          <w:b/>
          <w:color w:val="auto"/>
          <w:kern w:val="21"/>
          <w:szCs w:val="32"/>
        </w:rPr>
        <w:t>□</w:t>
      </w:r>
      <w:r>
        <w:rPr>
          <w:rFonts w:eastAsia="仿宋"/>
          <w:bCs/>
          <w:color w:val="auto"/>
          <w:kern w:val="21"/>
          <w:szCs w:val="32"/>
        </w:rPr>
        <w:t>招标</w:t>
      </w:r>
      <w:r>
        <w:rPr>
          <w:rFonts w:eastAsia="仿宋"/>
          <w:b/>
          <w:color w:val="auto"/>
          <w:kern w:val="21"/>
          <w:szCs w:val="32"/>
        </w:rPr>
        <w:t>□</w:t>
      </w:r>
      <w:r>
        <w:rPr>
          <w:rFonts w:eastAsia="仿宋"/>
          <w:bCs/>
          <w:color w:val="auto"/>
          <w:kern w:val="21"/>
          <w:szCs w:val="32"/>
        </w:rPr>
        <w:t>拍卖</w:t>
      </w:r>
      <w:r>
        <w:rPr>
          <w:rFonts w:hint="eastAsia" w:ascii="微软雅黑" w:hAnsi="微软雅黑" w:eastAsia="微软雅黑" w:cs="微软雅黑"/>
          <w:color w:val="auto"/>
          <w:sz w:val="24"/>
          <w:szCs w:val="24"/>
          <w:shd w:val="clear" w:color="auto" w:fill="FFFFFF"/>
        </w:rPr>
        <w:t> ☑</w:t>
      </w:r>
      <w:r>
        <w:rPr>
          <w:rFonts w:eastAsia="仿宋"/>
          <w:bCs/>
          <w:color w:val="auto"/>
          <w:kern w:val="21"/>
          <w:szCs w:val="32"/>
        </w:rPr>
        <w:t>挂牌</w:t>
      </w:r>
      <w:r>
        <w:rPr>
          <w:rFonts w:eastAsia="仿宋"/>
          <w:b/>
          <w:color w:val="auto"/>
          <w:kern w:val="21"/>
          <w:szCs w:val="32"/>
        </w:rPr>
        <w:t>□</w:t>
      </w:r>
      <w:r>
        <w:rPr>
          <w:rFonts w:eastAsia="仿宋"/>
          <w:bCs/>
          <w:color w:val="auto"/>
          <w:kern w:val="21"/>
          <w:szCs w:val="32"/>
        </w:rPr>
        <w:t>协议方式出让。</w:t>
      </w:r>
    </w:p>
    <w:p>
      <w:pPr>
        <w:spacing w:line="580" w:lineRule="exact"/>
        <w:ind w:firstLine="640" w:firstLineChars="200"/>
        <w:rPr>
          <w:bCs/>
          <w:color w:val="auto"/>
          <w:kern w:val="21"/>
          <w:szCs w:val="32"/>
          <w:u w:val="single"/>
        </w:rPr>
      </w:pPr>
      <w:r>
        <w:rPr>
          <w:rFonts w:eastAsia="仿宋"/>
          <w:bCs/>
          <w:color w:val="auto"/>
          <w:kern w:val="21"/>
          <w:szCs w:val="32"/>
        </w:rPr>
        <w:t>（二）实施</w:t>
      </w:r>
      <w:r>
        <w:rPr>
          <w:rFonts w:eastAsia="仿宋"/>
          <w:b/>
          <w:color w:val="auto"/>
          <w:kern w:val="21"/>
          <w:szCs w:val="32"/>
        </w:rPr>
        <w:t>□</w:t>
      </w:r>
      <w:r>
        <w:rPr>
          <w:rFonts w:eastAsia="仿宋"/>
          <w:bCs/>
          <w:color w:val="auto"/>
          <w:kern w:val="21"/>
          <w:szCs w:val="32"/>
        </w:rPr>
        <w:t>招标</w:t>
      </w:r>
      <w:r>
        <w:rPr>
          <w:rFonts w:eastAsia="仿宋"/>
          <w:b/>
          <w:color w:val="auto"/>
          <w:kern w:val="21"/>
          <w:szCs w:val="32"/>
        </w:rPr>
        <w:t>□</w:t>
      </w:r>
      <w:r>
        <w:rPr>
          <w:rFonts w:eastAsia="仿宋"/>
          <w:bCs/>
          <w:color w:val="auto"/>
          <w:kern w:val="21"/>
          <w:szCs w:val="32"/>
        </w:rPr>
        <w:t>拍卖</w:t>
      </w:r>
      <w:r>
        <w:rPr>
          <w:rFonts w:hint="eastAsia" w:ascii="微软雅黑" w:hAnsi="微软雅黑" w:eastAsia="微软雅黑" w:cs="微软雅黑"/>
          <w:color w:val="auto"/>
          <w:sz w:val="24"/>
          <w:szCs w:val="24"/>
          <w:shd w:val="clear" w:color="auto" w:fill="FFFFFF"/>
        </w:rPr>
        <w:t> ☑</w:t>
      </w:r>
      <w:r>
        <w:rPr>
          <w:rFonts w:eastAsia="仿宋"/>
          <w:bCs/>
          <w:color w:val="auto"/>
          <w:kern w:val="21"/>
          <w:szCs w:val="32"/>
        </w:rPr>
        <w:t>挂牌出让的矿业权交易平台：</w:t>
      </w:r>
      <w:r>
        <w:rPr>
          <w:color w:val="auto"/>
          <w:shd w:val="clear" w:color="050000" w:fill="auto"/>
        </w:rPr>
        <w:t>韶关市公共资源交易中心。</w:t>
      </w:r>
    </w:p>
    <w:p>
      <w:pPr>
        <w:spacing w:line="580" w:lineRule="exact"/>
        <w:ind w:firstLine="640" w:firstLineChars="200"/>
        <w:rPr>
          <w:color w:val="auto"/>
          <w:shd w:val="clear" w:color="050000" w:fill="auto"/>
        </w:rPr>
      </w:pPr>
      <w:r>
        <w:rPr>
          <w:color w:val="auto"/>
          <w:shd w:val="clear" w:color="050000" w:fill="auto"/>
        </w:rPr>
        <w:t>场　　　所：曲江区马坝镇鞍山路曲江文化中心一楼</w:t>
      </w:r>
    </w:p>
    <w:p>
      <w:pPr>
        <w:spacing w:line="580" w:lineRule="exact"/>
        <w:ind w:firstLine="640" w:firstLineChars="200"/>
        <w:rPr>
          <w:rFonts w:eastAsia="仿宋"/>
          <w:color w:val="auto"/>
          <w:kern w:val="21"/>
          <w:szCs w:val="32"/>
        </w:rPr>
      </w:pPr>
      <w:r>
        <w:rPr>
          <w:rFonts w:eastAsia="黑体"/>
          <w:color w:val="auto"/>
          <w:kern w:val="21"/>
          <w:szCs w:val="32"/>
        </w:rPr>
        <w:t>第三条</w:t>
      </w:r>
      <w:r>
        <w:rPr>
          <w:rFonts w:eastAsia="仿宋"/>
          <w:color w:val="auto"/>
          <w:kern w:val="21"/>
          <w:szCs w:val="32"/>
        </w:rPr>
        <w:t>　出让年限</w:t>
      </w:r>
    </w:p>
    <w:p>
      <w:pPr>
        <w:spacing w:line="580" w:lineRule="exact"/>
        <w:ind w:firstLine="640" w:firstLineChars="200"/>
        <w:rPr>
          <w:rFonts w:eastAsia="仿宋"/>
          <w:color w:val="auto"/>
          <w:kern w:val="21"/>
          <w:szCs w:val="32"/>
        </w:rPr>
      </w:pPr>
      <w:r>
        <w:rPr>
          <w:rFonts w:eastAsia="仿宋"/>
          <w:color w:val="auto"/>
          <w:kern w:val="21"/>
          <w:szCs w:val="32"/>
        </w:rPr>
        <w:t>出让年限为</w:t>
      </w:r>
      <w:r>
        <w:rPr>
          <w:rFonts w:hint="eastAsia" w:eastAsia="仿宋"/>
          <w:color w:val="auto"/>
          <w:kern w:val="21"/>
          <w:szCs w:val="32"/>
        </w:rPr>
        <w:t>27年，包括基建期1年</w:t>
      </w:r>
      <w:r>
        <w:rPr>
          <w:rFonts w:eastAsia="仿宋"/>
          <w:color w:val="auto"/>
          <w:kern w:val="21"/>
          <w:szCs w:val="32"/>
        </w:rPr>
        <w:t>。采矿权出让年限自甲方首次批准乙方矿产资源开采登记之日起，至矿山停办、关闭、注销止。</w:t>
      </w:r>
    </w:p>
    <w:p>
      <w:pPr>
        <w:spacing w:line="580" w:lineRule="exact"/>
        <w:ind w:firstLine="640" w:firstLineChars="200"/>
        <w:rPr>
          <w:rFonts w:eastAsia="仿宋"/>
          <w:color w:val="auto"/>
          <w:kern w:val="21"/>
          <w:szCs w:val="32"/>
        </w:rPr>
      </w:pPr>
      <w:r>
        <w:rPr>
          <w:rFonts w:eastAsia="黑体"/>
          <w:color w:val="auto"/>
          <w:kern w:val="21"/>
          <w:szCs w:val="32"/>
        </w:rPr>
        <w:t>第四条</w:t>
      </w:r>
      <w:r>
        <w:rPr>
          <w:rFonts w:eastAsia="仿宋"/>
          <w:color w:val="auto"/>
          <w:kern w:val="21"/>
          <w:szCs w:val="32"/>
        </w:rPr>
        <w:t>　矿业权出让收益</w:t>
      </w:r>
    </w:p>
    <w:p>
      <w:pPr>
        <w:spacing w:line="580" w:lineRule="exact"/>
        <w:ind w:firstLine="640" w:firstLineChars="200"/>
        <w:rPr>
          <w:rFonts w:eastAsia="仿宋"/>
          <w:color w:val="auto"/>
          <w:kern w:val="21"/>
          <w:szCs w:val="32"/>
        </w:rPr>
      </w:pPr>
      <w:r>
        <w:rPr>
          <w:rFonts w:eastAsia="仿宋"/>
          <w:color w:val="auto"/>
          <w:kern w:val="21"/>
          <w:szCs w:val="32"/>
        </w:rPr>
        <w:t>（一）矿业权出让收益为</w:t>
      </w:r>
      <w:r>
        <w:rPr>
          <w:rFonts w:eastAsia="仿宋"/>
          <w:color w:val="auto"/>
          <w:kern w:val="21"/>
          <w:szCs w:val="32"/>
          <w:u w:val="single"/>
        </w:rPr>
        <w:t>人民币：万元（大写：）</w:t>
      </w:r>
      <w:r>
        <w:rPr>
          <w:rFonts w:eastAsia="仿宋"/>
          <w:color w:val="auto"/>
          <w:kern w:val="21"/>
          <w:szCs w:val="32"/>
        </w:rPr>
        <w:t>。</w:t>
      </w:r>
    </w:p>
    <w:p>
      <w:pPr>
        <w:spacing w:line="580" w:lineRule="exact"/>
        <w:ind w:firstLine="640" w:firstLineChars="200"/>
        <w:rPr>
          <w:rFonts w:eastAsia="仿宋"/>
          <w:color w:val="auto"/>
          <w:kern w:val="21"/>
          <w:szCs w:val="32"/>
        </w:rPr>
      </w:pPr>
      <w:r>
        <w:rPr>
          <w:rFonts w:eastAsia="仿宋"/>
          <w:color w:val="auto"/>
          <w:kern w:val="21"/>
          <w:szCs w:val="32"/>
        </w:rPr>
        <w:t>（二）采矿权出让收益按以下</w:t>
      </w:r>
      <w:r>
        <w:rPr>
          <w:rFonts w:eastAsia="仿宋"/>
          <w:color w:val="auto"/>
          <w:kern w:val="21"/>
          <w:szCs w:val="32"/>
          <w:u w:val="single"/>
        </w:rPr>
        <w:t xml:space="preserve">第  </w:t>
      </w:r>
      <w:r>
        <w:rPr>
          <w:rFonts w:hint="eastAsia" w:eastAsia="仿宋"/>
          <w:color w:val="auto"/>
          <w:kern w:val="21"/>
          <w:szCs w:val="32"/>
          <w:u w:val="single"/>
        </w:rPr>
        <w:t>1</w:t>
      </w:r>
      <w:r>
        <w:rPr>
          <w:rFonts w:eastAsia="仿宋"/>
          <w:color w:val="auto"/>
          <w:kern w:val="21"/>
          <w:szCs w:val="32"/>
          <w:u w:val="single"/>
        </w:rPr>
        <w:t xml:space="preserve">  种</w:t>
      </w:r>
      <w:r>
        <w:rPr>
          <w:rFonts w:eastAsia="仿宋"/>
          <w:color w:val="auto"/>
          <w:kern w:val="21"/>
          <w:szCs w:val="32"/>
        </w:rPr>
        <w:t xml:space="preserve">方式缴纳，缴款时间以缴款通知书或合同约定时间为准。  </w:t>
      </w:r>
    </w:p>
    <w:p>
      <w:pPr>
        <w:spacing w:line="580" w:lineRule="exact"/>
        <w:ind w:firstLine="640" w:firstLineChars="200"/>
        <w:rPr>
          <w:rFonts w:eastAsia="仿宋"/>
          <w:color w:val="auto"/>
          <w:kern w:val="21"/>
          <w:szCs w:val="32"/>
        </w:rPr>
      </w:pPr>
      <w:r>
        <w:rPr>
          <w:rFonts w:eastAsia="仿宋"/>
          <w:color w:val="auto"/>
          <w:kern w:val="21"/>
          <w:szCs w:val="32"/>
        </w:rPr>
        <w:t>1.一次性缴纳，竟买保证金转为采矿权出让收益，甲乙双方签订《采矿权出让合同》之日起30天内付清采矿权出让收益余款。</w:t>
      </w:r>
    </w:p>
    <w:p>
      <w:pPr>
        <w:spacing w:line="580" w:lineRule="exact"/>
        <w:ind w:firstLine="640" w:firstLineChars="200"/>
        <w:rPr>
          <w:rFonts w:eastAsia="仿宋"/>
          <w:color w:val="auto"/>
          <w:kern w:val="21"/>
          <w:szCs w:val="32"/>
        </w:rPr>
      </w:pPr>
      <w:r>
        <w:rPr>
          <w:rFonts w:eastAsia="仿宋"/>
          <w:color w:val="auto"/>
          <w:kern w:val="21"/>
          <w:szCs w:val="32"/>
        </w:rPr>
        <w:t>2.分期缴纳。</w:t>
      </w:r>
    </w:p>
    <w:p>
      <w:pPr>
        <w:spacing w:line="580" w:lineRule="exact"/>
        <w:ind w:firstLine="640" w:firstLineChars="200"/>
        <w:rPr>
          <w:color w:val="auto"/>
          <w:kern w:val="21"/>
          <w:szCs w:val="32"/>
        </w:rPr>
      </w:pPr>
      <w:r>
        <w:rPr>
          <w:rFonts w:eastAsia="仿宋"/>
          <w:color w:val="auto"/>
          <w:kern w:val="21"/>
          <w:szCs w:val="32"/>
        </w:rPr>
        <w:t>根据</w:t>
      </w:r>
      <w:r>
        <w:rPr>
          <w:color w:val="auto"/>
          <w:szCs w:val="32"/>
        </w:rPr>
        <w:t>《广东省财政厅 广东省自然资源厅转发财政部国土资源部关于印发&lt;矿业权出让收益征收管理暂行办法&gt;的通知》（粤财规〔2021〕2号）,以及乙方提交的《分期缴款方案》和</w:t>
      </w:r>
      <w:r>
        <w:rPr>
          <w:rFonts w:hint="eastAsia"/>
          <w:color w:val="auto"/>
          <w:szCs w:val="32"/>
        </w:rPr>
        <w:t>政府同意分期缴纳的批复</w:t>
      </w:r>
      <w:r>
        <w:rPr>
          <w:color w:val="auto"/>
          <w:szCs w:val="32"/>
        </w:rPr>
        <w:t>。</w:t>
      </w:r>
    </w:p>
    <w:p>
      <w:pPr>
        <w:spacing w:line="580" w:lineRule="exact"/>
        <w:ind w:firstLine="640" w:firstLineChars="200"/>
        <w:rPr>
          <w:rFonts w:eastAsia="仿宋"/>
          <w:color w:val="auto"/>
          <w:kern w:val="21"/>
          <w:szCs w:val="32"/>
        </w:rPr>
      </w:pPr>
      <w:r>
        <w:rPr>
          <w:rFonts w:eastAsia="仿宋"/>
          <w:color w:val="auto"/>
          <w:kern w:val="21"/>
          <w:szCs w:val="32"/>
        </w:rPr>
        <w:t>采矿权出让收益不包括矿业权占用费及其他依规需要缴纳的费用。</w:t>
      </w:r>
    </w:p>
    <w:p>
      <w:pPr>
        <w:spacing w:line="580" w:lineRule="exact"/>
        <w:ind w:firstLine="640" w:firstLineChars="200"/>
        <w:rPr>
          <w:rFonts w:eastAsia="仿宋"/>
          <w:color w:val="auto"/>
          <w:kern w:val="21"/>
          <w:szCs w:val="32"/>
        </w:rPr>
      </w:pPr>
      <w:r>
        <w:rPr>
          <w:rFonts w:eastAsia="黑体"/>
          <w:color w:val="auto"/>
          <w:kern w:val="21"/>
          <w:szCs w:val="32"/>
        </w:rPr>
        <w:t>第五条</w:t>
      </w:r>
      <w:r>
        <w:rPr>
          <w:rFonts w:eastAsia="仿宋"/>
          <w:color w:val="auto"/>
          <w:kern w:val="21"/>
          <w:szCs w:val="32"/>
        </w:rPr>
        <w:t>　其他费用</w:t>
      </w:r>
    </w:p>
    <w:p>
      <w:pPr>
        <w:spacing w:line="580" w:lineRule="exact"/>
        <w:ind w:firstLine="640" w:firstLineChars="200"/>
        <w:rPr>
          <w:rFonts w:eastAsia="仿宋"/>
          <w:color w:val="auto"/>
          <w:kern w:val="21"/>
          <w:szCs w:val="32"/>
        </w:rPr>
      </w:pPr>
      <w:r>
        <w:rPr>
          <w:rFonts w:eastAsia="仿宋"/>
          <w:color w:val="auto"/>
          <w:kern w:val="21"/>
          <w:szCs w:val="32"/>
        </w:rPr>
        <w:t>包括采矿权挂牌前期投入费用、矿区范围内的土地林地流转费用、</w:t>
      </w:r>
      <w:r>
        <w:rPr>
          <w:rFonts w:hint="eastAsia" w:eastAsia="仿宋"/>
          <w:color w:val="auto"/>
          <w:kern w:val="21"/>
          <w:szCs w:val="32"/>
        </w:rPr>
        <w:t>乡村振兴建设和基础设施配套费</w:t>
      </w:r>
      <w:r>
        <w:rPr>
          <w:rFonts w:eastAsia="仿宋"/>
          <w:color w:val="auto"/>
          <w:kern w:val="21"/>
          <w:szCs w:val="32"/>
        </w:rPr>
        <w:t>等费用，</w:t>
      </w:r>
      <w:r>
        <w:rPr>
          <w:rFonts w:eastAsia="仿宋"/>
          <w:color w:val="auto"/>
          <w:kern w:val="21"/>
          <w:szCs w:val="32"/>
          <w:u w:val="single"/>
        </w:rPr>
        <w:t>共</w:t>
      </w:r>
      <w:r>
        <w:rPr>
          <w:rFonts w:hint="eastAsia" w:eastAsia="仿宋"/>
          <w:color w:val="auto"/>
          <w:kern w:val="21"/>
          <w:szCs w:val="32"/>
          <w:u w:val="single"/>
        </w:rPr>
        <w:t>3105.11</w:t>
      </w:r>
      <w:r>
        <w:rPr>
          <w:rFonts w:eastAsia="仿宋"/>
          <w:color w:val="auto"/>
          <w:kern w:val="21"/>
          <w:szCs w:val="32"/>
          <w:u w:val="single"/>
        </w:rPr>
        <w:t>万元（大写：</w:t>
      </w:r>
      <w:r>
        <w:rPr>
          <w:rFonts w:hint="eastAsia" w:eastAsia="仿宋"/>
          <w:color w:val="auto"/>
          <w:kern w:val="21"/>
          <w:szCs w:val="32"/>
          <w:u w:val="single"/>
        </w:rPr>
        <w:t>三</w:t>
      </w:r>
      <w:r>
        <w:rPr>
          <w:rFonts w:eastAsia="仿宋"/>
          <w:color w:val="auto"/>
          <w:kern w:val="21"/>
          <w:szCs w:val="32"/>
          <w:u w:val="single"/>
        </w:rPr>
        <w:t>仟</w:t>
      </w:r>
      <w:r>
        <w:rPr>
          <w:rFonts w:hint="eastAsia" w:eastAsia="仿宋"/>
          <w:color w:val="auto"/>
          <w:kern w:val="21"/>
          <w:szCs w:val="32"/>
          <w:u w:val="single"/>
        </w:rPr>
        <w:t>壹</w:t>
      </w:r>
      <w:r>
        <w:rPr>
          <w:rFonts w:eastAsia="仿宋"/>
          <w:color w:val="auto"/>
          <w:kern w:val="21"/>
          <w:szCs w:val="32"/>
          <w:u w:val="single"/>
        </w:rPr>
        <w:t>佰</w:t>
      </w:r>
      <w:r>
        <w:rPr>
          <w:rFonts w:hint="eastAsia" w:eastAsia="仿宋"/>
          <w:color w:val="auto"/>
          <w:kern w:val="21"/>
          <w:szCs w:val="32"/>
          <w:u w:val="single"/>
        </w:rPr>
        <w:t>零伍万壹仟壹佰</w:t>
      </w:r>
      <w:r>
        <w:rPr>
          <w:rFonts w:eastAsia="仿宋"/>
          <w:color w:val="auto"/>
          <w:kern w:val="21"/>
          <w:szCs w:val="32"/>
          <w:u w:val="single"/>
        </w:rPr>
        <w:t>元整）</w:t>
      </w:r>
      <w:r>
        <w:rPr>
          <w:rFonts w:eastAsia="仿宋"/>
          <w:color w:val="auto"/>
          <w:kern w:val="21"/>
          <w:szCs w:val="32"/>
        </w:rPr>
        <w:t>。</w:t>
      </w:r>
    </w:p>
    <w:p>
      <w:pPr>
        <w:spacing w:line="580" w:lineRule="exact"/>
        <w:ind w:firstLine="640" w:firstLineChars="200"/>
        <w:rPr>
          <w:rFonts w:eastAsia="仿宋"/>
          <w:color w:val="auto"/>
          <w:kern w:val="21"/>
          <w:szCs w:val="32"/>
        </w:rPr>
      </w:pPr>
      <w:r>
        <w:rPr>
          <w:rFonts w:eastAsia="仿宋"/>
          <w:color w:val="auto"/>
          <w:kern w:val="21"/>
          <w:szCs w:val="32"/>
        </w:rPr>
        <w:t>（1）采矿权挂牌前期投入费用。采矿权挂牌前期投入地质勘查</w:t>
      </w:r>
      <w:r>
        <w:rPr>
          <w:rFonts w:hint="eastAsia" w:eastAsia="仿宋"/>
          <w:color w:val="auto"/>
          <w:kern w:val="21"/>
          <w:szCs w:val="32"/>
        </w:rPr>
        <w:t>、</w:t>
      </w:r>
      <w:r>
        <w:rPr>
          <w:rFonts w:eastAsia="仿宋"/>
          <w:color w:val="auto"/>
          <w:kern w:val="21"/>
          <w:szCs w:val="32"/>
        </w:rPr>
        <w:t>储量报告编制、开采利用方案编制等费用共</w:t>
      </w:r>
      <w:r>
        <w:rPr>
          <w:rFonts w:hint="eastAsia" w:eastAsia="仿宋"/>
          <w:color w:val="auto"/>
          <w:kern w:val="21"/>
          <w:szCs w:val="32"/>
        </w:rPr>
        <w:t>504.3</w:t>
      </w:r>
      <w:r>
        <w:rPr>
          <w:rFonts w:eastAsia="仿宋"/>
          <w:color w:val="auto"/>
          <w:kern w:val="21"/>
          <w:szCs w:val="32"/>
        </w:rPr>
        <w:t>万元</w:t>
      </w:r>
      <w:r>
        <w:rPr>
          <w:rFonts w:hint="eastAsia" w:eastAsia="仿宋"/>
          <w:color w:val="auto"/>
          <w:kern w:val="21"/>
          <w:szCs w:val="32"/>
        </w:rPr>
        <w:t>、涉矿土林地收储费用5052.67万元，森林植被恢复费311.658万元，大旺山矿区配套上山道路修建成本35万元，共</w:t>
      </w:r>
      <w:r>
        <w:rPr>
          <w:rFonts w:hint="eastAsia" w:eastAsia="仿宋"/>
          <w:color w:val="auto"/>
          <w:kern w:val="21"/>
          <w:szCs w:val="32"/>
          <w:u w:val="single"/>
        </w:rPr>
        <w:t>5903.628万元</w:t>
      </w:r>
      <w:r>
        <w:rPr>
          <w:rFonts w:eastAsia="仿宋"/>
          <w:color w:val="auto"/>
          <w:kern w:val="21"/>
          <w:szCs w:val="32"/>
          <w:u w:val="single"/>
        </w:rPr>
        <w:t>（大写：伍仟玖佰</w:t>
      </w:r>
      <w:r>
        <w:rPr>
          <w:rFonts w:hint="eastAsia" w:eastAsia="仿宋"/>
          <w:color w:val="auto"/>
          <w:kern w:val="21"/>
          <w:szCs w:val="32"/>
          <w:u w:val="single"/>
        </w:rPr>
        <w:t>零叁万陆仟贰佰</w:t>
      </w:r>
      <w:r>
        <w:rPr>
          <w:rFonts w:eastAsia="仿宋"/>
          <w:color w:val="auto"/>
          <w:kern w:val="21"/>
          <w:szCs w:val="32"/>
          <w:u w:val="single"/>
        </w:rPr>
        <w:t>捌拾元整）</w:t>
      </w:r>
      <w:r>
        <w:rPr>
          <w:rFonts w:eastAsia="仿宋"/>
          <w:color w:val="auto"/>
          <w:kern w:val="21"/>
          <w:szCs w:val="32"/>
        </w:rPr>
        <w:t>，由乙方在网上交易成交之日起</w:t>
      </w:r>
      <w:r>
        <w:rPr>
          <w:rFonts w:hint="eastAsia" w:ascii="仿宋_GB2312" w:hAnsi="仿宋_GB2312" w:eastAsia="仿宋_GB2312" w:cs="仿宋_GB2312"/>
          <w:color w:val="auto"/>
          <w:sz w:val="32"/>
          <w:szCs w:val="32"/>
          <w:lang w:val="en-US" w:eastAsia="zh-CN"/>
        </w:rPr>
        <w:t>6个月</w:t>
      </w:r>
      <w:r>
        <w:rPr>
          <w:rFonts w:eastAsia="仿宋"/>
          <w:color w:val="auto"/>
          <w:kern w:val="21"/>
          <w:szCs w:val="32"/>
        </w:rPr>
        <w:t>内一次性向</w:t>
      </w:r>
      <w:r>
        <w:rPr>
          <w:rFonts w:hint="eastAsia" w:eastAsia="仿宋"/>
          <w:color w:val="auto"/>
          <w:kern w:val="21"/>
          <w:szCs w:val="32"/>
        </w:rPr>
        <w:t>韶关市曲江区</w:t>
      </w:r>
      <w:r>
        <w:rPr>
          <w:rFonts w:eastAsia="仿宋"/>
          <w:color w:val="auto"/>
          <w:kern w:val="21"/>
          <w:szCs w:val="32"/>
        </w:rPr>
        <w:t>人民政府付清，逾期不缴纳或者拒不缴纳的，视为放弃，《成交确认书》自动作废，已收取的竞买保证金等上缴国库，不予返还。</w:t>
      </w:r>
    </w:p>
    <w:p>
      <w:pPr>
        <w:spacing w:line="580" w:lineRule="exact"/>
        <w:ind w:firstLine="640" w:firstLineChars="200"/>
        <w:rPr>
          <w:rFonts w:eastAsia="仿宋"/>
          <w:color w:val="auto"/>
          <w:kern w:val="21"/>
          <w:szCs w:val="32"/>
        </w:rPr>
      </w:pPr>
      <w:r>
        <w:rPr>
          <w:rFonts w:eastAsia="仿宋"/>
          <w:color w:val="auto"/>
          <w:kern w:val="21"/>
          <w:szCs w:val="32"/>
        </w:rPr>
        <w:t>（3）</w:t>
      </w:r>
      <w:r>
        <w:rPr>
          <w:rFonts w:hint="eastAsia" w:eastAsia="仿宋"/>
          <w:color w:val="auto"/>
          <w:kern w:val="21"/>
          <w:szCs w:val="32"/>
        </w:rPr>
        <w:t>乡村振兴建设和基础设施配套费</w:t>
      </w:r>
      <w:r>
        <w:rPr>
          <w:rFonts w:eastAsia="仿宋"/>
          <w:color w:val="auto"/>
          <w:kern w:val="21"/>
          <w:szCs w:val="32"/>
        </w:rPr>
        <w:t>等费用。乙方需承担</w:t>
      </w:r>
      <w:r>
        <w:rPr>
          <w:rFonts w:hint="eastAsia" w:eastAsia="仿宋"/>
          <w:color w:val="auto"/>
          <w:kern w:val="21"/>
          <w:szCs w:val="32"/>
        </w:rPr>
        <w:t>乡村振兴建设和基础设施配套费</w:t>
      </w:r>
      <w:r>
        <w:rPr>
          <w:rFonts w:eastAsia="仿宋"/>
          <w:color w:val="auto"/>
          <w:kern w:val="21"/>
          <w:szCs w:val="32"/>
        </w:rPr>
        <w:t>等费用共</w:t>
      </w:r>
      <w:r>
        <w:rPr>
          <w:rFonts w:hint="eastAsia" w:eastAsia="仿宋"/>
          <w:color w:val="auto"/>
          <w:kern w:val="21"/>
          <w:szCs w:val="32"/>
        </w:rPr>
        <w:t>46000</w:t>
      </w:r>
      <w:r>
        <w:rPr>
          <w:rFonts w:eastAsia="仿宋"/>
          <w:color w:val="auto"/>
          <w:kern w:val="21"/>
          <w:szCs w:val="32"/>
        </w:rPr>
        <w:t>万元（大写：肆亿陆仟万元整），</w:t>
      </w:r>
      <w:r>
        <w:rPr>
          <w:rFonts w:hint="eastAsia" w:eastAsia="仿宋"/>
          <w:color w:val="auto"/>
          <w:kern w:val="21"/>
          <w:szCs w:val="32"/>
        </w:rPr>
        <w:t>竞得人应在签订《采矿权出让合同》之前须先行支付乡村振兴建设和基础设施配套费等费用23000万元，须在《成交确认书》签订之日起10个工作日完成；</w:t>
      </w:r>
      <w:r>
        <w:rPr>
          <w:rFonts w:hint="eastAsia" w:ascii="仿宋_GB2312" w:hAnsi="仿宋_GB2312" w:eastAsia="仿宋_GB2312" w:cs="仿宋_GB2312"/>
          <w:color w:val="auto"/>
          <w:sz w:val="32"/>
          <w:szCs w:val="32"/>
        </w:rPr>
        <w:t>乡村振兴建设和基础设施配套费剩余部分23000万元由竞得人在取得采矿证</w:t>
      </w:r>
      <w:r>
        <w:rPr>
          <w:rFonts w:hint="eastAsia" w:ascii="仿宋_GB2312" w:hAnsi="仿宋_GB2312" w:eastAsia="仿宋_GB2312" w:cs="仿宋_GB2312"/>
          <w:color w:val="auto"/>
          <w:sz w:val="32"/>
          <w:szCs w:val="32"/>
          <w:lang w:val="en-US" w:eastAsia="zh-CN"/>
        </w:rPr>
        <w:t>之后6个月内</w:t>
      </w:r>
      <w:r>
        <w:rPr>
          <w:rFonts w:hint="eastAsia" w:ascii="仿宋_GB2312" w:hAnsi="仿宋_GB2312" w:eastAsia="仿宋_GB2312" w:cs="仿宋_GB2312"/>
          <w:color w:val="auto"/>
          <w:sz w:val="32"/>
          <w:szCs w:val="32"/>
        </w:rPr>
        <w:t>一次性支付完毕。</w:t>
      </w:r>
      <w:r>
        <w:rPr>
          <w:rFonts w:eastAsia="仿宋"/>
          <w:color w:val="auto"/>
          <w:kern w:val="21"/>
          <w:szCs w:val="32"/>
        </w:rPr>
        <w:t>逾期不缴纳或者拒不缴纳的，视为乙方违约，甲方单方面解除采矿权合同，乙方已缴纳采矿权出让收益作为违约金，不予退回。</w:t>
      </w:r>
    </w:p>
    <w:p>
      <w:pPr>
        <w:spacing w:line="580" w:lineRule="exact"/>
        <w:ind w:firstLine="640" w:firstLineChars="200"/>
        <w:rPr>
          <w:rFonts w:eastAsia="仿宋"/>
          <w:color w:val="auto"/>
          <w:kern w:val="21"/>
          <w:szCs w:val="32"/>
        </w:rPr>
      </w:pPr>
      <w:r>
        <w:rPr>
          <w:rFonts w:eastAsia="黑体"/>
          <w:color w:val="auto"/>
          <w:kern w:val="21"/>
          <w:szCs w:val="32"/>
        </w:rPr>
        <w:t>第六条</w:t>
      </w:r>
      <w:r>
        <w:rPr>
          <w:rFonts w:eastAsia="仿宋"/>
          <w:color w:val="auto"/>
          <w:kern w:val="21"/>
          <w:szCs w:val="32"/>
        </w:rPr>
        <w:t>　自本合同签订之日起6个月内，乙方应向甲方申请办理矿产资源开采登记。</w:t>
      </w:r>
    </w:p>
    <w:p>
      <w:pPr>
        <w:spacing w:line="580" w:lineRule="exact"/>
        <w:ind w:firstLine="640" w:firstLineChars="200"/>
        <w:rPr>
          <w:rFonts w:eastAsia="仿宋"/>
          <w:color w:val="auto"/>
          <w:kern w:val="21"/>
          <w:szCs w:val="32"/>
        </w:rPr>
      </w:pPr>
      <w:r>
        <w:rPr>
          <w:rFonts w:eastAsia="仿宋"/>
          <w:color w:val="auto"/>
          <w:kern w:val="21"/>
          <w:szCs w:val="32"/>
        </w:rPr>
        <w:t>未取得采矿许可证或者采矿许可证超出有效期限的，乙方不得在出让范围内开采矿产资源。</w:t>
      </w:r>
    </w:p>
    <w:p>
      <w:pPr>
        <w:spacing w:line="580" w:lineRule="exact"/>
        <w:ind w:firstLine="640" w:firstLineChars="200"/>
        <w:rPr>
          <w:rFonts w:eastAsia="仿宋"/>
          <w:color w:val="auto"/>
          <w:kern w:val="21"/>
          <w:szCs w:val="32"/>
        </w:rPr>
      </w:pPr>
      <w:r>
        <w:rPr>
          <w:rFonts w:eastAsia="黑体"/>
          <w:color w:val="auto"/>
          <w:kern w:val="21"/>
          <w:szCs w:val="32"/>
        </w:rPr>
        <w:t>第七条</w:t>
      </w:r>
      <w:r>
        <w:rPr>
          <w:rFonts w:eastAsia="仿宋"/>
          <w:color w:val="auto"/>
          <w:kern w:val="21"/>
          <w:szCs w:val="32"/>
        </w:rPr>
        <w:t>　甲方权利</w:t>
      </w:r>
    </w:p>
    <w:p>
      <w:pPr>
        <w:spacing w:line="580" w:lineRule="exact"/>
        <w:ind w:firstLine="640" w:firstLineChars="200"/>
        <w:rPr>
          <w:rFonts w:eastAsia="仿宋"/>
          <w:color w:val="auto"/>
          <w:kern w:val="21"/>
          <w:szCs w:val="32"/>
        </w:rPr>
      </w:pPr>
      <w:r>
        <w:rPr>
          <w:rFonts w:eastAsia="仿宋"/>
          <w:color w:val="auto"/>
          <w:kern w:val="21"/>
          <w:szCs w:val="32"/>
        </w:rPr>
        <w:t>（一）乙方未按时足额缴纳矿业权出让收益的，甲方按照征收管理权限责令改正，从滞纳之日起每日加收2‰的滞纳金，并将相关信息纳入企业诚信系统。乙方拒不改正的，甲方有权解除本合同。</w:t>
      </w:r>
    </w:p>
    <w:p>
      <w:pPr>
        <w:spacing w:line="580" w:lineRule="exact"/>
        <w:ind w:firstLine="640" w:firstLineChars="200"/>
        <w:rPr>
          <w:rFonts w:eastAsia="仿宋"/>
          <w:color w:val="auto"/>
          <w:kern w:val="21"/>
          <w:szCs w:val="32"/>
        </w:rPr>
      </w:pPr>
      <w:r>
        <w:rPr>
          <w:rFonts w:eastAsia="仿宋"/>
          <w:color w:val="auto"/>
          <w:kern w:val="21"/>
          <w:szCs w:val="32"/>
        </w:rPr>
        <w:t>（二）在约定期限内，乙方未向曲江区自然资源局申请办理矿产资源开采登记的，甲方有权解除本合同。</w:t>
      </w:r>
    </w:p>
    <w:p>
      <w:pPr>
        <w:spacing w:line="580" w:lineRule="exact"/>
        <w:ind w:firstLine="640" w:firstLineChars="200"/>
        <w:rPr>
          <w:rFonts w:eastAsia="黑体"/>
          <w:color w:val="auto"/>
          <w:kern w:val="21"/>
          <w:szCs w:val="32"/>
        </w:rPr>
      </w:pPr>
      <w:r>
        <w:rPr>
          <w:rFonts w:eastAsia="仿宋"/>
          <w:color w:val="auto"/>
          <w:kern w:val="21"/>
          <w:szCs w:val="32"/>
        </w:rPr>
        <w:t>（</w:t>
      </w:r>
      <w:r>
        <w:rPr>
          <w:rFonts w:hint="eastAsia" w:eastAsia="仿宋"/>
          <w:color w:val="auto"/>
          <w:kern w:val="21"/>
          <w:szCs w:val="32"/>
        </w:rPr>
        <w:t>三</w:t>
      </w:r>
      <w:r>
        <w:rPr>
          <w:rFonts w:eastAsia="仿宋"/>
          <w:color w:val="auto"/>
          <w:kern w:val="21"/>
          <w:szCs w:val="32"/>
        </w:rPr>
        <w:t>）乙方违反矿山地质环境保护与土地复垦方案要求，在自然资源主管部门规定的时限内拒不整改，甲方有权解除出让合同。</w:t>
      </w:r>
    </w:p>
    <w:p>
      <w:pPr>
        <w:spacing w:line="580" w:lineRule="exact"/>
        <w:ind w:firstLine="640" w:firstLineChars="200"/>
        <w:rPr>
          <w:rFonts w:eastAsia="仿宋"/>
          <w:color w:val="auto"/>
          <w:kern w:val="21"/>
          <w:szCs w:val="32"/>
        </w:rPr>
      </w:pPr>
      <w:r>
        <w:rPr>
          <w:rFonts w:eastAsia="黑体"/>
          <w:color w:val="auto"/>
          <w:kern w:val="21"/>
          <w:szCs w:val="32"/>
        </w:rPr>
        <w:t>第八条</w:t>
      </w:r>
      <w:r>
        <w:rPr>
          <w:rFonts w:eastAsia="仿宋"/>
          <w:color w:val="auto"/>
          <w:kern w:val="21"/>
          <w:szCs w:val="32"/>
        </w:rPr>
        <w:t>　甲方义务</w:t>
      </w:r>
    </w:p>
    <w:p>
      <w:pPr>
        <w:spacing w:line="580" w:lineRule="exact"/>
        <w:ind w:firstLine="640" w:firstLineChars="200"/>
        <w:rPr>
          <w:rFonts w:eastAsia="仿宋"/>
          <w:color w:val="auto"/>
          <w:kern w:val="21"/>
          <w:szCs w:val="32"/>
        </w:rPr>
      </w:pPr>
      <w:r>
        <w:rPr>
          <w:rFonts w:eastAsia="仿宋"/>
          <w:color w:val="auto"/>
          <w:kern w:val="21"/>
          <w:szCs w:val="32"/>
        </w:rPr>
        <w:t>（一）甲方应将出让合同告知矿业权出让收益征收机关，并提请其开具缴款通知书，通知乙方缴款。</w:t>
      </w:r>
    </w:p>
    <w:p>
      <w:pPr>
        <w:spacing w:line="580" w:lineRule="exact"/>
        <w:ind w:firstLine="640" w:firstLineChars="200"/>
        <w:rPr>
          <w:rFonts w:eastAsia="仿宋"/>
          <w:color w:val="auto"/>
          <w:kern w:val="21"/>
          <w:szCs w:val="32"/>
        </w:rPr>
      </w:pPr>
      <w:r>
        <w:rPr>
          <w:rFonts w:eastAsia="仿宋"/>
          <w:color w:val="auto"/>
          <w:kern w:val="21"/>
          <w:szCs w:val="32"/>
        </w:rPr>
        <w:t>（二）在本合同生效期间，甲方不得将全部或者部分出让范围另行向第三方出让。</w:t>
      </w:r>
    </w:p>
    <w:p>
      <w:pPr>
        <w:spacing w:line="580" w:lineRule="exact"/>
        <w:ind w:firstLine="640" w:firstLineChars="200"/>
        <w:rPr>
          <w:rFonts w:eastAsia="仿宋"/>
          <w:color w:val="auto"/>
          <w:kern w:val="21"/>
          <w:szCs w:val="32"/>
        </w:rPr>
      </w:pPr>
      <w:r>
        <w:rPr>
          <w:rFonts w:eastAsia="仿宋"/>
          <w:color w:val="auto"/>
          <w:kern w:val="21"/>
          <w:szCs w:val="32"/>
        </w:rPr>
        <w:t>（三）对于乙方符合法定条件、标准的矿产资源开采登记申请，甲方应在法定时限内为乙方办理矿产资源开采登记手续。</w:t>
      </w:r>
    </w:p>
    <w:p>
      <w:pPr>
        <w:spacing w:line="580" w:lineRule="exact"/>
        <w:ind w:firstLine="640" w:firstLineChars="200"/>
        <w:rPr>
          <w:rFonts w:eastAsia="仿宋"/>
          <w:color w:val="auto"/>
          <w:kern w:val="21"/>
          <w:szCs w:val="32"/>
        </w:rPr>
      </w:pPr>
      <w:r>
        <w:rPr>
          <w:rFonts w:eastAsia="仿宋"/>
          <w:color w:val="auto"/>
          <w:kern w:val="21"/>
          <w:szCs w:val="32"/>
        </w:rPr>
        <w:t>（四）对所属采矿权出让前期工作原因而导致的乙方无法如期正常开展开采工作的，甲方可以取消采矿权登记，并按照有关规定退还采矿权出让收益等已缴纳的费用。</w:t>
      </w:r>
    </w:p>
    <w:p>
      <w:pPr>
        <w:spacing w:line="580" w:lineRule="exact"/>
        <w:ind w:firstLine="640" w:firstLineChars="200"/>
        <w:rPr>
          <w:rFonts w:eastAsia="仿宋"/>
          <w:color w:val="auto"/>
          <w:kern w:val="21"/>
          <w:szCs w:val="32"/>
        </w:rPr>
      </w:pPr>
      <w:r>
        <w:rPr>
          <w:rFonts w:eastAsia="黑体"/>
          <w:color w:val="auto"/>
          <w:kern w:val="21"/>
          <w:szCs w:val="32"/>
        </w:rPr>
        <w:t>第九条</w:t>
      </w:r>
      <w:r>
        <w:rPr>
          <w:rFonts w:eastAsia="仿宋"/>
          <w:color w:val="auto"/>
          <w:kern w:val="21"/>
          <w:szCs w:val="32"/>
        </w:rPr>
        <w:t>　乙方权利</w:t>
      </w:r>
    </w:p>
    <w:p>
      <w:pPr>
        <w:spacing w:line="580" w:lineRule="exact"/>
        <w:ind w:firstLine="640" w:firstLineChars="200"/>
        <w:rPr>
          <w:rFonts w:eastAsia="仿宋"/>
          <w:color w:val="auto"/>
          <w:kern w:val="21"/>
          <w:szCs w:val="32"/>
        </w:rPr>
      </w:pPr>
      <w:r>
        <w:rPr>
          <w:rFonts w:eastAsia="仿宋"/>
          <w:color w:val="auto"/>
          <w:kern w:val="21"/>
          <w:szCs w:val="32"/>
        </w:rPr>
        <w:t>（一）依据本合同，乙方有权向</w:t>
      </w:r>
      <w:r>
        <w:rPr>
          <w:rFonts w:hint="eastAsia" w:eastAsia="仿宋"/>
          <w:color w:val="auto"/>
          <w:kern w:val="21"/>
          <w:szCs w:val="32"/>
        </w:rPr>
        <w:t>韶关市曲江区</w:t>
      </w:r>
      <w:r>
        <w:rPr>
          <w:rFonts w:eastAsia="仿宋"/>
          <w:color w:val="auto"/>
          <w:kern w:val="21"/>
          <w:szCs w:val="32"/>
        </w:rPr>
        <w:t>自然资源局申请办理矿产资源开采登记。</w:t>
      </w:r>
    </w:p>
    <w:p>
      <w:pPr>
        <w:spacing w:line="580" w:lineRule="exact"/>
        <w:ind w:firstLine="640" w:firstLineChars="200"/>
        <w:rPr>
          <w:rFonts w:eastAsia="仿宋"/>
          <w:color w:val="auto"/>
          <w:kern w:val="21"/>
          <w:szCs w:val="32"/>
        </w:rPr>
      </w:pPr>
      <w:r>
        <w:rPr>
          <w:rFonts w:eastAsia="仿宋"/>
          <w:color w:val="auto"/>
          <w:kern w:val="21"/>
          <w:szCs w:val="32"/>
        </w:rPr>
        <w:t>（二）因国家政策调整、重大自然灾害和破产清算等原因注销采矿许可证的，乙方有权申请按照实际动用的资源储量进行矿业权出让收益核定，并依据相关规定实行多退少补。</w:t>
      </w:r>
    </w:p>
    <w:p>
      <w:pPr>
        <w:spacing w:line="580" w:lineRule="exact"/>
        <w:ind w:firstLine="640" w:firstLineChars="200"/>
        <w:rPr>
          <w:rFonts w:eastAsia="仿宋"/>
          <w:color w:val="auto"/>
          <w:kern w:val="21"/>
          <w:szCs w:val="32"/>
        </w:rPr>
      </w:pPr>
      <w:r>
        <w:rPr>
          <w:rFonts w:eastAsia="黑体"/>
          <w:color w:val="auto"/>
          <w:kern w:val="21"/>
          <w:szCs w:val="32"/>
        </w:rPr>
        <w:t>第十条</w:t>
      </w:r>
      <w:r>
        <w:rPr>
          <w:rFonts w:eastAsia="仿宋"/>
          <w:color w:val="auto"/>
          <w:kern w:val="21"/>
          <w:szCs w:val="32"/>
        </w:rPr>
        <w:t>　乙方义务</w:t>
      </w:r>
    </w:p>
    <w:p>
      <w:pPr>
        <w:spacing w:line="580" w:lineRule="exact"/>
        <w:ind w:firstLine="640" w:firstLineChars="200"/>
        <w:rPr>
          <w:rFonts w:eastAsia="仿宋"/>
          <w:color w:val="auto"/>
          <w:kern w:val="21"/>
          <w:szCs w:val="32"/>
        </w:rPr>
      </w:pPr>
      <w:r>
        <w:rPr>
          <w:rFonts w:eastAsia="仿宋"/>
          <w:color w:val="auto"/>
          <w:kern w:val="21"/>
          <w:szCs w:val="32"/>
        </w:rPr>
        <w:t>（一）乙方按照本合同第四条、第五条约定的时间缴纳矿业权出让收益和其他费用。</w:t>
      </w:r>
    </w:p>
    <w:p>
      <w:pPr>
        <w:spacing w:line="580" w:lineRule="exact"/>
        <w:ind w:firstLine="640" w:firstLineChars="200"/>
        <w:rPr>
          <w:rFonts w:eastAsia="仿宋"/>
          <w:color w:val="auto"/>
          <w:kern w:val="21"/>
          <w:szCs w:val="32"/>
        </w:rPr>
      </w:pPr>
      <w:r>
        <w:rPr>
          <w:rFonts w:eastAsia="仿宋"/>
          <w:color w:val="auto"/>
          <w:kern w:val="21"/>
          <w:szCs w:val="32"/>
        </w:rPr>
        <w:t>（二）自本合同签订之日起6个月内，乙方应向曲江区自然资源局申请办理矿产资源开采登记。</w:t>
      </w:r>
    </w:p>
    <w:p>
      <w:pPr>
        <w:spacing w:line="580" w:lineRule="exact"/>
        <w:ind w:firstLine="640" w:firstLineChars="200"/>
        <w:rPr>
          <w:rFonts w:eastAsia="仿宋"/>
          <w:color w:val="auto"/>
          <w:kern w:val="21"/>
          <w:szCs w:val="32"/>
        </w:rPr>
      </w:pPr>
      <w:r>
        <w:rPr>
          <w:rFonts w:eastAsia="仿宋"/>
          <w:color w:val="auto"/>
          <w:kern w:val="21"/>
          <w:szCs w:val="32"/>
        </w:rPr>
        <w:t>（三）在未取得采矿许可证前或者采矿许可证超出有效期限的，乙方不得在出让范围内开采矿产资源。</w:t>
      </w:r>
    </w:p>
    <w:p>
      <w:pPr>
        <w:spacing w:line="580" w:lineRule="exact"/>
        <w:ind w:firstLine="640" w:firstLineChars="200"/>
        <w:rPr>
          <w:rFonts w:eastAsia="仿宋"/>
          <w:color w:val="auto"/>
          <w:kern w:val="21"/>
          <w:szCs w:val="32"/>
        </w:rPr>
      </w:pPr>
      <w:r>
        <w:rPr>
          <w:rFonts w:eastAsia="仿宋"/>
          <w:color w:val="auto"/>
          <w:kern w:val="21"/>
          <w:szCs w:val="32"/>
        </w:rPr>
        <w:t>（四）乙方在持有采矿许可证期间，应严格遵守矿产资源法律法规、相关矿业权管理政策，依法有效保护、合理开采、综合利用矿产资源，认真履行缴纳资源税与矿业权占用费、矿山地质环境保护与土地复垦等的义务。</w:t>
      </w:r>
    </w:p>
    <w:p>
      <w:pPr>
        <w:spacing w:line="580" w:lineRule="exact"/>
        <w:ind w:firstLine="640" w:firstLineChars="200"/>
        <w:rPr>
          <w:rFonts w:eastAsia="仿宋"/>
          <w:color w:val="auto"/>
          <w:kern w:val="21"/>
          <w:szCs w:val="32"/>
        </w:rPr>
      </w:pPr>
      <w:r>
        <w:rPr>
          <w:rFonts w:eastAsia="仿宋"/>
          <w:color w:val="auto"/>
          <w:kern w:val="21"/>
          <w:szCs w:val="32"/>
        </w:rPr>
        <w:t>（五）乙方在开采活动中应依法保护生态环境，严格按照评审通过的矿山开采设计或开发利用方案实施开采；严格落实评审通过的矿山地质环境与土地复垦方案要求，做好矿山地质环境恢复治理和土地复垦等工作；在开采活动中造成地质灾害隐患或诱发地质灾害事故的，应当及时做好地质灾害治理工作。</w:t>
      </w:r>
    </w:p>
    <w:p>
      <w:pPr>
        <w:spacing w:line="580" w:lineRule="exact"/>
        <w:ind w:firstLine="640" w:firstLineChars="200"/>
        <w:rPr>
          <w:rFonts w:eastAsia="仿宋"/>
          <w:color w:val="auto"/>
          <w:kern w:val="21"/>
          <w:szCs w:val="32"/>
        </w:rPr>
      </w:pPr>
      <w:r>
        <w:rPr>
          <w:rFonts w:eastAsia="黑体"/>
          <w:color w:val="auto"/>
          <w:kern w:val="21"/>
          <w:szCs w:val="32"/>
        </w:rPr>
        <w:t>第十一条</w:t>
      </w:r>
      <w:r>
        <w:rPr>
          <w:rFonts w:eastAsia="仿宋"/>
          <w:color w:val="auto"/>
          <w:kern w:val="21"/>
          <w:szCs w:val="32"/>
        </w:rPr>
        <w:t>　其他约定</w:t>
      </w:r>
    </w:p>
    <w:p>
      <w:pPr>
        <w:spacing w:line="580" w:lineRule="exact"/>
        <w:ind w:firstLine="640" w:firstLineChars="200"/>
        <w:rPr>
          <w:bCs/>
          <w:color w:val="auto"/>
        </w:rPr>
      </w:pPr>
      <w:r>
        <w:rPr>
          <w:bCs/>
          <w:color w:val="auto"/>
        </w:rPr>
        <w:t>（一）</w:t>
      </w:r>
      <w:r>
        <w:rPr>
          <w:bCs/>
          <w:color w:val="auto"/>
          <w:kern w:val="0"/>
          <w:szCs w:val="32"/>
        </w:rPr>
        <w:t>采矿权出让收益和其他费用不包括资源税、矿山地质环境治理恢复基金、采矿权占用费、森林植被恢复费、办理用地手续费用及其他相关费用等，以上费用由乙方自行承担，另行支付。乙方向市场监管、生态环境、自然资源、水利、税务等有关部门申办手续时需缴交的税费由乙方自行承担。</w:t>
      </w:r>
    </w:p>
    <w:p>
      <w:pPr>
        <w:spacing w:line="580" w:lineRule="exact"/>
        <w:ind w:firstLine="640" w:firstLineChars="200"/>
        <w:rPr>
          <w:rFonts w:eastAsia="仿宋"/>
          <w:color w:val="auto"/>
          <w:kern w:val="21"/>
          <w:szCs w:val="32"/>
        </w:rPr>
      </w:pPr>
      <w:r>
        <w:rPr>
          <w:bCs/>
          <w:color w:val="auto"/>
        </w:rPr>
        <w:t>（二）</w:t>
      </w:r>
      <w:r>
        <w:rPr>
          <w:color w:val="auto"/>
          <w:szCs w:val="32"/>
        </w:rPr>
        <w:t>乙方应充分了解矿山开采涉及的安全生产、环境保护、水土保持、林地占用等相关法律法规的特殊要求，慎重决策，风险由乙方自担。</w:t>
      </w:r>
      <w:r>
        <w:rPr>
          <w:rFonts w:eastAsia="仿宋"/>
          <w:color w:val="auto"/>
          <w:kern w:val="21"/>
          <w:szCs w:val="32"/>
        </w:rPr>
        <w:t>乙方应自行向有关部门申请办理涉及用地、用林、用路、生态环境保护、水土保持、安全生产等许可事项，手续齐全后方可正式进行矿山开采，并严格遵守土地管理、矿产资源、环境保护、水土保持、安全生产、道路运输等法律法规规定，切实履行法律规定义务，接受相关部门的监督管理，依法缴纳法律规定的费用。</w:t>
      </w:r>
    </w:p>
    <w:p>
      <w:pPr>
        <w:spacing w:line="580" w:lineRule="exact"/>
        <w:ind w:firstLine="640" w:firstLineChars="200"/>
        <w:rPr>
          <w:rFonts w:eastAsia="仿宋"/>
          <w:color w:val="auto"/>
          <w:kern w:val="21"/>
          <w:szCs w:val="32"/>
        </w:rPr>
      </w:pPr>
      <w:r>
        <w:rPr>
          <w:rFonts w:eastAsia="仿宋"/>
          <w:color w:val="auto"/>
          <w:kern w:val="21"/>
          <w:szCs w:val="32"/>
        </w:rPr>
        <w:t>乙方须自行解决矿区开采涉及的道路交通等问题，涉及公路部分应按《公路法》、《公路安全保护条例》等相关法律法规规定执行，确保公路安全畅通。</w:t>
      </w:r>
    </w:p>
    <w:p>
      <w:pPr>
        <w:spacing w:line="580" w:lineRule="exact"/>
        <w:ind w:firstLine="640" w:firstLineChars="200"/>
        <w:rPr>
          <w:rFonts w:eastAsia="仿宋"/>
          <w:color w:val="auto"/>
          <w:kern w:val="21"/>
          <w:szCs w:val="32"/>
        </w:rPr>
      </w:pPr>
      <w:r>
        <w:rPr>
          <w:rFonts w:eastAsia="仿宋"/>
          <w:color w:val="auto"/>
          <w:kern w:val="21"/>
          <w:szCs w:val="32"/>
        </w:rPr>
        <w:t>乙方严格按水土保持方案，落实水土保持“三同时”制度。在生产建设过程中做好流经矿区的雨水、生产生活废水等的收集处理工作，防止污染周边水源。</w:t>
      </w:r>
    </w:p>
    <w:p>
      <w:pPr>
        <w:spacing w:line="580" w:lineRule="exact"/>
        <w:ind w:firstLine="640" w:firstLineChars="200"/>
        <w:rPr>
          <w:rFonts w:eastAsia="仿宋"/>
          <w:color w:val="auto"/>
          <w:kern w:val="21"/>
          <w:szCs w:val="32"/>
        </w:rPr>
      </w:pPr>
      <w:r>
        <w:rPr>
          <w:rFonts w:eastAsia="仿宋"/>
          <w:color w:val="auto"/>
          <w:kern w:val="21"/>
          <w:szCs w:val="32"/>
        </w:rPr>
        <w:t>在开采过程中若发现文物，应保护好现场，即刻通知当地文物行政主管部门进行文物保护。</w:t>
      </w:r>
    </w:p>
    <w:p>
      <w:pPr>
        <w:spacing w:line="580" w:lineRule="exact"/>
        <w:ind w:firstLine="640" w:firstLineChars="200"/>
        <w:rPr>
          <w:color w:val="auto"/>
          <w:kern w:val="21"/>
          <w:szCs w:val="32"/>
        </w:rPr>
      </w:pPr>
      <w:r>
        <w:rPr>
          <w:rFonts w:eastAsia="仿宋"/>
          <w:color w:val="auto"/>
          <w:kern w:val="21"/>
          <w:szCs w:val="32"/>
        </w:rPr>
        <w:t>（三）乙方在取得《采矿许可证》之日起6个月内投入生产，逾期不建场或逾期不投入生产的，由甲方无偿收回已出让的采矿权（如涉及非建设用地转建设用地，且必须办理非建设用地转建设用地批准手续方可动工建场的，在竞得人按规定提供应由竞得人提供的资料后，有关部门未在竞得人使用相关土地前批准有关非建设用地转建设用地及其他如地震、疫情等不可抗力的自然因素，导致乙方未能按时建场或投产的情形除外）。</w:t>
      </w:r>
    </w:p>
    <w:p>
      <w:pPr>
        <w:spacing w:line="580" w:lineRule="exact"/>
        <w:ind w:firstLine="640" w:firstLineChars="200"/>
        <w:rPr>
          <w:rFonts w:eastAsia="仿宋"/>
          <w:color w:val="auto"/>
          <w:kern w:val="21"/>
          <w:szCs w:val="32"/>
        </w:rPr>
      </w:pPr>
      <w:r>
        <w:rPr>
          <w:rFonts w:eastAsia="仿宋"/>
          <w:color w:val="auto"/>
          <w:kern w:val="21"/>
          <w:szCs w:val="32"/>
        </w:rPr>
        <w:t>乙方应按砂石行业绿色矿山建设的要求进行建设，正式生产一年内，建成绿色矿山，并通过自然资源部门的验收；按规定埋设矿区界桩，严格按照《开发利用方案》确定的开采方式进行采矿作业，不得超量开采、越界开采。</w:t>
      </w:r>
    </w:p>
    <w:p>
      <w:pPr>
        <w:adjustRightInd w:val="0"/>
        <w:snapToGrid w:val="0"/>
        <w:spacing w:line="580" w:lineRule="exact"/>
        <w:ind w:firstLine="560"/>
        <w:rPr>
          <w:bCs/>
          <w:color w:val="auto"/>
          <w:kern w:val="0"/>
          <w:szCs w:val="32"/>
        </w:rPr>
      </w:pPr>
      <w:r>
        <w:rPr>
          <w:rFonts w:eastAsia="仿宋"/>
          <w:color w:val="auto"/>
          <w:kern w:val="21"/>
          <w:szCs w:val="32"/>
        </w:rPr>
        <w:t>乙方要落实边开采边治理的义务。按要求计提矿山地质环境治理恢复基金，并按《矿山地质环境保护与土地复垦方案》落实年度的恢复治理内容；基金的计提和使用情况纳入矿山年度公示信息的内容范围。</w:t>
      </w:r>
      <w:r>
        <w:rPr>
          <w:bCs/>
          <w:color w:val="auto"/>
          <w:kern w:val="0"/>
          <w:szCs w:val="32"/>
        </w:rPr>
        <w:t>矿区范围内因开采矿产资源造成矿山地质环境破坏的，由采矿权人负责治理恢复；矿区周边采矿权人按《开发利用方案》办理用地、用林手续后，用作排土场、生产厂区等生产配套区造成损毁的，由采矿权人负责治理恢复；矿区周边历史损毁的范围，经历史遗留矿山核查工作核定，由曲江区人民政府承担修复责任。自然资源主管部门通过随机抽查和专项检查，加强对矿山落实恢复治理责任的监督管理，发现未达到边开采边治理要求的，依法查处整改；未按要求完成整改，按规定将矿山企业及相关人员列入矿业权人异常名录或违法失信名单，向社会公布；逾期不改正的，处3万元以下的罚款，不受理其申请新的采矿许可证或者申请采矿许可证延续、变更、注销。同时，矿山企业应加强矿区范围内矿产资源的综合利用，减少固体废弃物。</w:t>
      </w:r>
    </w:p>
    <w:p>
      <w:pPr>
        <w:spacing w:line="580" w:lineRule="exact"/>
        <w:ind w:firstLine="640" w:firstLineChars="200"/>
        <w:jc w:val="left"/>
        <w:rPr>
          <w:rFonts w:eastAsia="仿宋"/>
          <w:color w:val="auto"/>
          <w:kern w:val="21"/>
          <w:szCs w:val="32"/>
        </w:rPr>
      </w:pPr>
      <w:r>
        <w:rPr>
          <w:rFonts w:eastAsia="仿宋"/>
          <w:color w:val="auto"/>
          <w:kern w:val="21"/>
          <w:szCs w:val="32"/>
        </w:rPr>
        <w:t>（五）采矿权出让期届满后，不再延续，采矿权由曲江区人民政府无偿收回，采矿权人必须按规定办理采矿许可证注销手续。逾期，按照有关规定将矿山企业及相关人员列入严重违法名单；情节严重的，提起公益诉讼，依法追究其法律责任。</w:t>
      </w:r>
    </w:p>
    <w:p>
      <w:pPr>
        <w:spacing w:line="580" w:lineRule="exact"/>
        <w:ind w:firstLine="640" w:firstLineChars="200"/>
        <w:rPr>
          <w:rFonts w:eastAsia="仿宋"/>
          <w:color w:val="auto"/>
          <w:kern w:val="21"/>
          <w:szCs w:val="32"/>
        </w:rPr>
      </w:pPr>
      <w:r>
        <w:rPr>
          <w:color w:val="auto"/>
        </w:rPr>
        <w:t>（六）</w:t>
      </w:r>
      <w:r>
        <w:rPr>
          <w:rFonts w:eastAsia="仿宋"/>
          <w:color w:val="auto"/>
          <w:kern w:val="21"/>
          <w:szCs w:val="32"/>
        </w:rPr>
        <w:t>乙方办理矿产资源开采登记成为采矿权人后，因开采活动违反相关规定产生的违法违规行为，由相关主管部门依法依规进行处理处罚，具体内容不在合同中约定。</w:t>
      </w:r>
    </w:p>
    <w:p>
      <w:pPr>
        <w:spacing w:line="580" w:lineRule="exact"/>
        <w:ind w:firstLine="640" w:firstLineChars="200"/>
        <w:rPr>
          <w:rFonts w:eastAsia="仿宋"/>
          <w:color w:val="auto"/>
          <w:kern w:val="21"/>
          <w:szCs w:val="32"/>
        </w:rPr>
      </w:pPr>
      <w:r>
        <w:rPr>
          <w:rFonts w:eastAsia="仿宋"/>
          <w:color w:val="auto"/>
          <w:kern w:val="21"/>
          <w:szCs w:val="32"/>
        </w:rPr>
        <w:t>乙方采矿权被注销，或者违反法律法规被吊销采矿许可证，导致采矿许可证自行废止，本合同自动解除。</w:t>
      </w:r>
    </w:p>
    <w:p>
      <w:pPr>
        <w:spacing w:line="580" w:lineRule="exact"/>
        <w:ind w:firstLine="640" w:firstLineChars="200"/>
        <w:rPr>
          <w:rFonts w:eastAsia="仿宋"/>
          <w:color w:val="auto"/>
          <w:kern w:val="21"/>
          <w:szCs w:val="32"/>
        </w:rPr>
      </w:pPr>
      <w:r>
        <w:rPr>
          <w:rFonts w:eastAsia="黑体"/>
          <w:color w:val="auto"/>
          <w:kern w:val="21"/>
          <w:szCs w:val="32"/>
        </w:rPr>
        <w:t>第十二条</w:t>
      </w:r>
      <w:r>
        <w:rPr>
          <w:rFonts w:eastAsia="仿宋"/>
          <w:color w:val="auto"/>
          <w:kern w:val="21"/>
          <w:szCs w:val="32"/>
        </w:rPr>
        <w:t>　风险提示</w:t>
      </w:r>
    </w:p>
    <w:p>
      <w:pPr>
        <w:spacing w:line="580" w:lineRule="exact"/>
        <w:ind w:firstLine="640" w:firstLineChars="200"/>
        <w:rPr>
          <w:rFonts w:eastAsia="仿宋"/>
          <w:color w:val="auto"/>
          <w:kern w:val="21"/>
          <w:szCs w:val="32"/>
        </w:rPr>
      </w:pPr>
      <w:r>
        <w:rPr>
          <w:rFonts w:eastAsia="仿宋"/>
          <w:color w:val="auto"/>
          <w:kern w:val="21"/>
          <w:szCs w:val="32"/>
        </w:rPr>
        <w:t>乙方应当自行承担下列可能存在的风险：</w:t>
      </w:r>
    </w:p>
    <w:p>
      <w:pPr>
        <w:spacing w:line="580" w:lineRule="exact"/>
        <w:ind w:firstLine="640" w:firstLineChars="200"/>
        <w:rPr>
          <w:rFonts w:eastAsia="仿宋"/>
          <w:color w:val="auto"/>
          <w:kern w:val="21"/>
          <w:szCs w:val="32"/>
        </w:rPr>
      </w:pPr>
      <w:r>
        <w:rPr>
          <w:rFonts w:eastAsia="仿宋"/>
          <w:color w:val="auto"/>
          <w:kern w:val="21"/>
          <w:szCs w:val="32"/>
        </w:rPr>
        <w:t>（一）由于地质条件的复杂性和勘查工作的局限性，出让的采矿权矿区范围内资源储量与实际情况可能存在差异。</w:t>
      </w:r>
    </w:p>
    <w:p>
      <w:pPr>
        <w:spacing w:line="580" w:lineRule="exact"/>
        <w:ind w:firstLine="640" w:firstLineChars="200"/>
        <w:rPr>
          <w:rFonts w:eastAsia="仿宋"/>
          <w:color w:val="auto"/>
          <w:kern w:val="21"/>
          <w:szCs w:val="32"/>
        </w:rPr>
      </w:pPr>
      <w:r>
        <w:rPr>
          <w:rFonts w:eastAsia="仿宋"/>
          <w:color w:val="auto"/>
          <w:kern w:val="21"/>
          <w:szCs w:val="32"/>
        </w:rPr>
        <w:t>（二）矿产资源规划、产业政策调整等因素对矿业权人行使权利义务的影响。</w:t>
      </w:r>
    </w:p>
    <w:p>
      <w:pPr>
        <w:spacing w:line="580" w:lineRule="exact"/>
        <w:ind w:firstLine="640" w:firstLineChars="200"/>
        <w:rPr>
          <w:rFonts w:eastAsia="仿宋"/>
          <w:color w:val="auto"/>
          <w:kern w:val="21"/>
          <w:szCs w:val="32"/>
        </w:rPr>
      </w:pPr>
      <w:r>
        <w:rPr>
          <w:rFonts w:eastAsia="仿宋"/>
          <w:color w:val="auto"/>
          <w:kern w:val="21"/>
          <w:szCs w:val="32"/>
        </w:rPr>
        <w:t>（三）生态和环境保护、地质灾害防治、安全生产要求等对矿产开发利用的限制。</w:t>
      </w:r>
    </w:p>
    <w:p>
      <w:pPr>
        <w:spacing w:line="580" w:lineRule="exact"/>
        <w:ind w:firstLine="640" w:firstLineChars="200"/>
        <w:rPr>
          <w:rFonts w:eastAsia="仿宋"/>
          <w:color w:val="auto"/>
        </w:rPr>
      </w:pPr>
      <w:r>
        <w:rPr>
          <w:rFonts w:eastAsia="仿宋"/>
          <w:color w:val="auto"/>
          <w:kern w:val="21"/>
          <w:szCs w:val="32"/>
        </w:rPr>
        <w:t>（四）</w:t>
      </w:r>
      <w:r>
        <w:rPr>
          <w:bCs/>
          <w:color w:val="auto"/>
          <w:kern w:val="0"/>
          <w:szCs w:val="32"/>
        </w:rPr>
        <w:t>矿山建设、开发开采过程中涉及的林地、草原、水、电、道路、环保及地面</w:t>
      </w:r>
      <w:r>
        <w:rPr>
          <w:rFonts w:eastAsia="仿宋"/>
          <w:color w:val="auto"/>
          <w:kern w:val="21"/>
          <w:szCs w:val="32"/>
        </w:rPr>
        <w:t>附着物</w:t>
      </w:r>
      <w:r>
        <w:rPr>
          <w:bCs/>
          <w:color w:val="auto"/>
          <w:kern w:val="0"/>
          <w:szCs w:val="32"/>
        </w:rPr>
        <w:t>搬迁等事宜由乙方自费解决。</w:t>
      </w:r>
    </w:p>
    <w:p>
      <w:pPr>
        <w:spacing w:line="580" w:lineRule="exact"/>
        <w:ind w:firstLine="640" w:firstLineChars="200"/>
        <w:rPr>
          <w:rFonts w:eastAsia="仿宋"/>
          <w:color w:val="auto"/>
          <w:kern w:val="21"/>
          <w:szCs w:val="32"/>
        </w:rPr>
      </w:pPr>
      <w:r>
        <w:rPr>
          <w:rFonts w:eastAsia="仿宋"/>
          <w:color w:val="auto"/>
          <w:kern w:val="21"/>
          <w:szCs w:val="32"/>
        </w:rPr>
        <w:t>（五）不可抗力的影响。</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1"/>
        <w:textAlignment w:val="auto"/>
        <w:outlineLvl w:val="9"/>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（六）因拟设矿区周边涉及相关单位安全距离问题，划定矿区范围已按规定与相关单位预留一定安全距离，已委托第三方技术单位编制《露天爆破作业安全评估报告》并通过专家评审，完成安全评估论证。</w:t>
      </w:r>
      <w:r>
        <w:rPr>
          <w:rFonts w:hint="eastAsia" w:ascii="仿宋_GB2312" w:hAnsi="仿宋_GB2312" w:eastAsia="仿宋_GB2312" w:cs="仿宋_GB2312"/>
          <w:color w:val="auto"/>
          <w:spacing w:val="-12"/>
          <w:sz w:val="32"/>
          <w:szCs w:val="32"/>
          <w:lang w:val="en-US" w:eastAsia="zh-CN"/>
        </w:rPr>
        <w:t>非竞得人原因</w:t>
      </w:r>
      <w:r>
        <w:rPr>
          <w:rFonts w:hint="default" w:ascii="Times New Roman" w:hAnsi="Times New Roman" w:eastAsia="仿宋_GB2312" w:cs="Times New Roman"/>
          <w:color w:val="auto"/>
          <w:sz w:val="32"/>
          <w:szCs w:val="32"/>
          <w:highlight w:val="none"/>
        </w:rPr>
        <w:t>导致</w:t>
      </w:r>
      <w:r>
        <w:rPr>
          <w:rFonts w:hint="eastAsia" w:ascii="Times New Roman" w:hAnsi="Times New Roman" w:eastAsia="仿宋_GB2312" w:cs="Times New Roman"/>
          <w:color w:val="auto"/>
          <w:sz w:val="32"/>
          <w:szCs w:val="32"/>
          <w:highlight w:val="none"/>
          <w:lang w:val="en-US" w:eastAsia="zh-CN"/>
        </w:rPr>
        <w:t>项目无法开发建设</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如竞得人提出申请退还相关资金，按照《财政部 自然资源部 税务总局关于印发&lt;矿业权出让收益征收办法&gt;的通知（财综〔2023〕10号）》相关规定执行。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1"/>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cs="Times New Roman"/>
          <w:color w:val="auto"/>
          <w:sz w:val="32"/>
          <w:szCs w:val="32"/>
          <w:highlight w:val="none"/>
          <w:lang w:val="en-US" w:eastAsia="zh-CN"/>
        </w:rPr>
        <w:t>（七）</w:t>
      </w:r>
      <w:r>
        <w:rPr>
          <w:rFonts w:hint="eastAsia" w:ascii="Times New Roman" w:hAnsi="Times New Roman" w:eastAsia="仿宋_GB2312" w:cs="Times New Roman"/>
          <w:color w:val="auto"/>
          <w:sz w:val="32"/>
          <w:szCs w:val="32"/>
          <w:highlight w:val="none"/>
          <w:lang w:val="en-US" w:eastAsia="zh-CN"/>
        </w:rPr>
        <w:t>矿区</w:t>
      </w:r>
      <w:r>
        <w:rPr>
          <w:rFonts w:hint="eastAsia" w:ascii="仿宋_GB2312" w:hAnsi="仿宋_GB2312" w:eastAsia="仿宋_GB2312" w:cs="仿宋_GB2312"/>
          <w:color w:val="auto"/>
          <w:sz w:val="32"/>
          <w:szCs w:val="32"/>
          <w:lang w:val="en-US" w:eastAsia="zh-CN"/>
        </w:rPr>
        <w:t>周边涉及110千伏口泥高压线，曲江区人民政府已与责任方签订三方协议，责任方必须按照本采矿权规划要求在一年内完成线路迁移，并承担迁移费用。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1"/>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（八）</w:t>
      </w:r>
      <w:r>
        <w:rPr>
          <w:rFonts w:hint="eastAsia" w:ascii="仿宋_GB2312" w:hAnsi="仿宋_GB2312" w:eastAsia="仿宋_GB2312" w:cs="仿宋_GB2312"/>
          <w:color w:val="auto"/>
          <w:sz w:val="32"/>
          <w:szCs w:val="32"/>
          <w:lang w:val="en-US" w:eastAsia="zh-CN"/>
        </w:rPr>
        <w:t>本次出让采矿权配套码头就近安排在《韶关港总体规划（修订）》中规划的北江港区大坑口作业区，该作业区位于曲江区乌石镇大坑口，共规划岸线1220米，初步规划建设千吨级散货泊位16个，已规划港口码头用地590亩，竞得人须依法取得港口码头用地手续后，经相关部门批准后方可进行港口建设，所有权由建设方持有。</w:t>
      </w:r>
    </w:p>
    <w:p>
      <w:pPr>
        <w:spacing w:line="580" w:lineRule="exact"/>
        <w:ind w:firstLine="640" w:firstLineChars="200"/>
        <w:rPr>
          <w:rFonts w:eastAsia="仿宋"/>
          <w:color w:val="auto"/>
          <w:kern w:val="21"/>
          <w:szCs w:val="32"/>
        </w:rPr>
      </w:pPr>
      <w:r>
        <w:rPr>
          <w:rFonts w:eastAsia="黑体"/>
          <w:color w:val="auto"/>
          <w:kern w:val="21"/>
          <w:szCs w:val="32"/>
        </w:rPr>
        <w:t>第十三条</w:t>
      </w:r>
      <w:r>
        <w:rPr>
          <w:rFonts w:eastAsia="仿宋"/>
          <w:color w:val="auto"/>
          <w:kern w:val="21"/>
          <w:szCs w:val="32"/>
        </w:rPr>
        <w:t>　本合同未尽事宜，按照相关法律法规的规定执行。法律法规没有规定的，双方经协商一致后，可另行签订补充协议。补充协议与本合同具有同等法律效力。</w:t>
      </w:r>
    </w:p>
    <w:p>
      <w:pPr>
        <w:spacing w:line="580" w:lineRule="exact"/>
        <w:ind w:firstLine="640" w:firstLineChars="200"/>
        <w:rPr>
          <w:rFonts w:eastAsia="仿宋"/>
          <w:color w:val="auto"/>
          <w:kern w:val="21"/>
          <w:szCs w:val="32"/>
        </w:rPr>
      </w:pPr>
      <w:r>
        <w:rPr>
          <w:rFonts w:eastAsia="黑体"/>
          <w:color w:val="auto"/>
          <w:kern w:val="21"/>
          <w:szCs w:val="32"/>
        </w:rPr>
        <w:t>第十四条</w:t>
      </w:r>
      <w:r>
        <w:rPr>
          <w:rFonts w:eastAsia="仿宋"/>
          <w:color w:val="auto"/>
          <w:kern w:val="21"/>
          <w:szCs w:val="32"/>
        </w:rPr>
        <w:t>　因本合同引起纠纷的，由争议双方协商解决，协商不成的，双方同意向有管辖权的人民法院提起诉讼。</w:t>
      </w:r>
    </w:p>
    <w:p>
      <w:pPr>
        <w:spacing w:line="580" w:lineRule="exact"/>
        <w:ind w:firstLine="640" w:firstLineChars="200"/>
        <w:rPr>
          <w:rFonts w:eastAsia="仿宋"/>
          <w:color w:val="auto"/>
          <w:kern w:val="21"/>
          <w:szCs w:val="32"/>
        </w:rPr>
      </w:pPr>
      <w:r>
        <w:rPr>
          <w:rFonts w:eastAsia="黑体"/>
          <w:color w:val="auto"/>
          <w:kern w:val="21"/>
          <w:szCs w:val="32"/>
        </w:rPr>
        <w:t>第十五条</w:t>
      </w:r>
      <w:r>
        <w:rPr>
          <w:rFonts w:eastAsia="仿宋"/>
          <w:color w:val="auto"/>
          <w:kern w:val="21"/>
          <w:szCs w:val="32"/>
        </w:rPr>
        <w:t>　本合同一式</w:t>
      </w:r>
      <w:r>
        <w:rPr>
          <w:rFonts w:hint="eastAsia" w:eastAsia="仿宋"/>
          <w:color w:val="auto"/>
          <w:kern w:val="21"/>
          <w:szCs w:val="32"/>
        </w:rPr>
        <w:t>捌</w:t>
      </w:r>
      <w:r>
        <w:rPr>
          <w:rFonts w:eastAsia="仿宋"/>
          <w:color w:val="auto"/>
          <w:kern w:val="21"/>
          <w:szCs w:val="32"/>
        </w:rPr>
        <w:t>份，甲乙双方各持</w:t>
      </w:r>
      <w:r>
        <w:rPr>
          <w:rFonts w:hint="eastAsia" w:eastAsia="仿宋"/>
          <w:color w:val="auto"/>
          <w:kern w:val="21"/>
          <w:szCs w:val="32"/>
        </w:rPr>
        <w:t>肆</w:t>
      </w:r>
      <w:r>
        <w:rPr>
          <w:rFonts w:eastAsia="仿宋"/>
          <w:color w:val="auto"/>
          <w:kern w:val="21"/>
          <w:szCs w:val="32"/>
        </w:rPr>
        <w:t>份，签字盖章后生效。</w:t>
      </w:r>
    </w:p>
    <w:p>
      <w:pPr>
        <w:spacing w:line="560" w:lineRule="exact"/>
        <w:ind w:firstLine="640" w:firstLineChars="200"/>
        <w:rPr>
          <w:rFonts w:eastAsia="仿宋"/>
          <w:color w:val="auto"/>
          <w:kern w:val="21"/>
          <w:szCs w:val="32"/>
        </w:rPr>
      </w:pPr>
    </w:p>
    <w:p>
      <w:pPr>
        <w:spacing w:line="560" w:lineRule="exact"/>
        <w:ind w:firstLine="640" w:firstLineChars="200"/>
        <w:rPr>
          <w:rFonts w:eastAsia="仿宋"/>
          <w:color w:val="auto"/>
          <w:kern w:val="21"/>
          <w:szCs w:val="32"/>
        </w:rPr>
      </w:pPr>
    </w:p>
    <w:p>
      <w:pPr>
        <w:spacing w:line="560" w:lineRule="exact"/>
        <w:ind w:firstLine="640" w:firstLineChars="200"/>
        <w:rPr>
          <w:rFonts w:eastAsia="仿宋"/>
          <w:color w:val="auto"/>
          <w:kern w:val="21"/>
          <w:szCs w:val="32"/>
          <w:u w:val="single"/>
        </w:rPr>
      </w:pPr>
      <w:r>
        <w:rPr>
          <w:rFonts w:eastAsia="仿宋"/>
          <w:color w:val="auto"/>
          <w:kern w:val="21"/>
          <w:szCs w:val="32"/>
        </w:rPr>
        <w:t>甲方或甲方委托代理方（盖章）：</w:t>
      </w:r>
      <w:r>
        <w:rPr>
          <w:rFonts w:eastAsia="仿宋"/>
          <w:color w:val="auto"/>
          <w:kern w:val="21"/>
          <w:szCs w:val="32"/>
          <w:u w:val="single"/>
        </w:rPr>
        <w:t>　　　　　　　　　　</w:t>
      </w:r>
    </w:p>
    <w:p>
      <w:pPr>
        <w:spacing w:line="560" w:lineRule="exact"/>
        <w:ind w:firstLine="640" w:firstLineChars="200"/>
        <w:rPr>
          <w:rFonts w:eastAsia="仿宋"/>
          <w:color w:val="auto"/>
          <w:kern w:val="21"/>
          <w:szCs w:val="32"/>
        </w:rPr>
      </w:pPr>
    </w:p>
    <w:p>
      <w:pPr>
        <w:spacing w:line="560" w:lineRule="exact"/>
        <w:ind w:firstLine="640" w:firstLineChars="200"/>
        <w:rPr>
          <w:rFonts w:eastAsia="仿宋"/>
          <w:color w:val="auto"/>
          <w:kern w:val="21"/>
          <w:szCs w:val="32"/>
        </w:rPr>
      </w:pPr>
      <w:r>
        <w:rPr>
          <w:rFonts w:eastAsia="仿宋"/>
          <w:color w:val="auto"/>
          <w:kern w:val="21"/>
          <w:szCs w:val="32"/>
        </w:rPr>
        <w:t>法定代表人或授权委托人（签字）：</w:t>
      </w:r>
      <w:r>
        <w:rPr>
          <w:rFonts w:eastAsia="仿宋"/>
          <w:color w:val="auto"/>
          <w:kern w:val="21"/>
          <w:szCs w:val="32"/>
          <w:u w:val="single"/>
        </w:rPr>
        <w:t>　　　　　　　　　　</w:t>
      </w:r>
    </w:p>
    <w:p>
      <w:pPr>
        <w:spacing w:line="560" w:lineRule="exact"/>
        <w:ind w:firstLine="640" w:firstLineChars="200"/>
        <w:rPr>
          <w:rFonts w:eastAsia="仿宋"/>
          <w:color w:val="auto"/>
          <w:kern w:val="21"/>
          <w:szCs w:val="32"/>
        </w:rPr>
      </w:pPr>
      <w:r>
        <w:rPr>
          <w:rFonts w:eastAsia="仿宋"/>
          <w:color w:val="auto"/>
          <w:kern w:val="21"/>
          <w:szCs w:val="32"/>
        </w:rPr>
        <w:t>时　　　　间：</w:t>
      </w:r>
      <w:r>
        <w:rPr>
          <w:rFonts w:eastAsia="仿宋"/>
          <w:color w:val="auto"/>
          <w:kern w:val="21"/>
          <w:szCs w:val="32"/>
          <w:u w:val="single"/>
        </w:rPr>
        <w:t>　　　　</w:t>
      </w:r>
      <w:r>
        <w:rPr>
          <w:rFonts w:eastAsia="仿宋"/>
          <w:color w:val="auto"/>
          <w:kern w:val="21"/>
          <w:szCs w:val="32"/>
        </w:rPr>
        <w:t>年</w:t>
      </w:r>
      <w:r>
        <w:rPr>
          <w:rFonts w:eastAsia="仿宋"/>
          <w:color w:val="auto"/>
          <w:kern w:val="21"/>
          <w:szCs w:val="32"/>
          <w:u w:val="single"/>
        </w:rPr>
        <w:t>　　</w:t>
      </w:r>
      <w:r>
        <w:rPr>
          <w:rFonts w:eastAsia="仿宋"/>
          <w:color w:val="auto"/>
          <w:kern w:val="21"/>
          <w:szCs w:val="32"/>
        </w:rPr>
        <w:t>月</w:t>
      </w:r>
      <w:r>
        <w:rPr>
          <w:rFonts w:eastAsia="仿宋"/>
          <w:color w:val="auto"/>
          <w:kern w:val="21"/>
          <w:szCs w:val="32"/>
          <w:u w:val="single"/>
        </w:rPr>
        <w:t>　　</w:t>
      </w:r>
      <w:r>
        <w:rPr>
          <w:rFonts w:eastAsia="仿宋"/>
          <w:color w:val="auto"/>
          <w:kern w:val="21"/>
          <w:szCs w:val="32"/>
        </w:rPr>
        <w:t>日</w:t>
      </w:r>
    </w:p>
    <w:p>
      <w:pPr>
        <w:spacing w:line="560" w:lineRule="exact"/>
        <w:ind w:firstLine="640" w:firstLineChars="200"/>
        <w:rPr>
          <w:rFonts w:eastAsia="仿宋"/>
          <w:color w:val="auto"/>
          <w:kern w:val="21"/>
          <w:szCs w:val="32"/>
        </w:rPr>
      </w:pPr>
    </w:p>
    <w:p>
      <w:pPr>
        <w:spacing w:line="560" w:lineRule="exact"/>
        <w:ind w:firstLine="640" w:firstLineChars="200"/>
        <w:rPr>
          <w:rFonts w:eastAsia="仿宋"/>
          <w:color w:val="auto"/>
          <w:kern w:val="21"/>
          <w:szCs w:val="32"/>
        </w:rPr>
      </w:pPr>
    </w:p>
    <w:p>
      <w:pPr>
        <w:spacing w:line="560" w:lineRule="exact"/>
        <w:ind w:firstLine="640" w:firstLineChars="200"/>
        <w:rPr>
          <w:rFonts w:eastAsia="仿宋"/>
          <w:color w:val="auto"/>
          <w:kern w:val="21"/>
          <w:szCs w:val="32"/>
        </w:rPr>
      </w:pPr>
      <w:r>
        <w:rPr>
          <w:rFonts w:eastAsia="仿宋"/>
          <w:color w:val="auto"/>
          <w:kern w:val="21"/>
          <w:szCs w:val="32"/>
        </w:rPr>
        <w:t>乙方（盖章）：</w:t>
      </w:r>
      <w:r>
        <w:rPr>
          <w:rFonts w:eastAsia="仿宋"/>
          <w:color w:val="auto"/>
          <w:kern w:val="21"/>
          <w:szCs w:val="32"/>
          <w:u w:val="single"/>
        </w:rPr>
        <w:t>　　　　　　　　　　</w:t>
      </w:r>
    </w:p>
    <w:p>
      <w:pPr>
        <w:spacing w:line="560" w:lineRule="exact"/>
        <w:ind w:firstLine="640" w:firstLineChars="200"/>
        <w:rPr>
          <w:rFonts w:eastAsia="仿宋"/>
          <w:color w:val="auto"/>
          <w:kern w:val="21"/>
          <w:szCs w:val="32"/>
        </w:rPr>
      </w:pPr>
    </w:p>
    <w:p>
      <w:pPr>
        <w:spacing w:line="560" w:lineRule="exact"/>
        <w:ind w:firstLine="640" w:firstLineChars="200"/>
        <w:rPr>
          <w:rFonts w:eastAsia="仿宋"/>
          <w:color w:val="auto"/>
          <w:kern w:val="21"/>
          <w:szCs w:val="32"/>
        </w:rPr>
      </w:pPr>
      <w:r>
        <w:rPr>
          <w:rFonts w:eastAsia="仿宋"/>
          <w:color w:val="auto"/>
          <w:kern w:val="21"/>
          <w:szCs w:val="32"/>
        </w:rPr>
        <w:t>法定代表人或授权委托人（签字）：</w:t>
      </w:r>
      <w:r>
        <w:rPr>
          <w:rFonts w:eastAsia="仿宋"/>
          <w:color w:val="auto"/>
          <w:kern w:val="21"/>
          <w:szCs w:val="32"/>
          <w:u w:val="single"/>
        </w:rPr>
        <w:t>　　　　　　　　　　</w:t>
      </w:r>
    </w:p>
    <w:p>
      <w:pPr>
        <w:spacing w:line="560" w:lineRule="exact"/>
        <w:ind w:firstLine="640" w:firstLineChars="200"/>
        <w:rPr>
          <w:color w:val="auto"/>
        </w:rPr>
      </w:pPr>
      <w:r>
        <w:rPr>
          <w:rFonts w:eastAsia="仿宋"/>
          <w:color w:val="auto"/>
          <w:kern w:val="21"/>
          <w:szCs w:val="32"/>
        </w:rPr>
        <w:t>时　　　　间：</w:t>
      </w:r>
      <w:r>
        <w:rPr>
          <w:rFonts w:eastAsia="仿宋"/>
          <w:color w:val="auto"/>
          <w:kern w:val="21"/>
          <w:szCs w:val="32"/>
          <w:u w:val="single"/>
        </w:rPr>
        <w:t>　　　　</w:t>
      </w:r>
      <w:r>
        <w:rPr>
          <w:rFonts w:eastAsia="仿宋"/>
          <w:color w:val="auto"/>
          <w:kern w:val="21"/>
          <w:szCs w:val="32"/>
        </w:rPr>
        <w:t>年</w:t>
      </w:r>
      <w:r>
        <w:rPr>
          <w:rFonts w:eastAsia="仿宋"/>
          <w:color w:val="auto"/>
          <w:kern w:val="21"/>
          <w:szCs w:val="32"/>
          <w:u w:val="single"/>
        </w:rPr>
        <w:t>　　</w:t>
      </w:r>
      <w:r>
        <w:rPr>
          <w:rFonts w:eastAsia="仿宋"/>
          <w:color w:val="auto"/>
          <w:kern w:val="21"/>
          <w:szCs w:val="32"/>
        </w:rPr>
        <w:t>月</w:t>
      </w:r>
      <w:r>
        <w:rPr>
          <w:rFonts w:eastAsia="仿宋"/>
          <w:color w:val="auto"/>
          <w:kern w:val="21"/>
          <w:szCs w:val="32"/>
          <w:u w:val="single"/>
        </w:rPr>
        <w:t>　　</w:t>
      </w:r>
      <w:r>
        <w:rPr>
          <w:rFonts w:eastAsia="仿宋"/>
          <w:color w:val="auto"/>
          <w:kern w:val="21"/>
          <w:szCs w:val="32"/>
        </w:rPr>
        <w:t>日</w:t>
      </w:r>
    </w:p>
    <w:bookmarkEnd w:id="0"/>
    <w:sectPr>
      <w:footerReference r:id="rId5" w:type="default"/>
      <w:pgSz w:w="11906" w:h="16838"/>
      <w:pgMar w:top="1985" w:right="1474" w:bottom="1814" w:left="158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宋体-18030">
    <w:altName w:val="宋体"/>
    <w:panose1 w:val="00000000000000000000"/>
    <w:charset w:val="86"/>
    <w:family w:val="auto"/>
    <w:pitch w:val="default"/>
    <w:sig w:usb0="00000000" w:usb1="00000000" w:usb2="000A005E"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t>9</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wODFiMTAyODI0ZGZlMmZlOWNmNjNhODJlMDc2ZTUifQ=="/>
  </w:docVars>
  <w:rsids>
    <w:rsidRoot w:val="002542CA"/>
    <w:rsid w:val="0003445D"/>
    <w:rsid w:val="00037874"/>
    <w:rsid w:val="00040234"/>
    <w:rsid w:val="00057F63"/>
    <w:rsid w:val="0006240C"/>
    <w:rsid w:val="00073A28"/>
    <w:rsid w:val="0008568B"/>
    <w:rsid w:val="000B1CFF"/>
    <w:rsid w:val="000B5F99"/>
    <w:rsid w:val="000E5148"/>
    <w:rsid w:val="000F5F0F"/>
    <w:rsid w:val="00102A20"/>
    <w:rsid w:val="001063F9"/>
    <w:rsid w:val="00106C9B"/>
    <w:rsid w:val="001176C1"/>
    <w:rsid w:val="001312A3"/>
    <w:rsid w:val="0013529C"/>
    <w:rsid w:val="0014306D"/>
    <w:rsid w:val="00153FC8"/>
    <w:rsid w:val="001651D4"/>
    <w:rsid w:val="001652B9"/>
    <w:rsid w:val="001703A3"/>
    <w:rsid w:val="00171AF5"/>
    <w:rsid w:val="00176089"/>
    <w:rsid w:val="001812ED"/>
    <w:rsid w:val="001A22B0"/>
    <w:rsid w:val="001C7C1C"/>
    <w:rsid w:val="001E7A9B"/>
    <w:rsid w:val="001E7B56"/>
    <w:rsid w:val="001F5870"/>
    <w:rsid w:val="00223DDB"/>
    <w:rsid w:val="00235501"/>
    <w:rsid w:val="00236B93"/>
    <w:rsid w:val="002542CA"/>
    <w:rsid w:val="00254C60"/>
    <w:rsid w:val="0025572C"/>
    <w:rsid w:val="0029582E"/>
    <w:rsid w:val="002B2F16"/>
    <w:rsid w:val="002D236C"/>
    <w:rsid w:val="002E35AB"/>
    <w:rsid w:val="002E62F4"/>
    <w:rsid w:val="002F0229"/>
    <w:rsid w:val="00305501"/>
    <w:rsid w:val="00315A34"/>
    <w:rsid w:val="00317976"/>
    <w:rsid w:val="003179BB"/>
    <w:rsid w:val="00330250"/>
    <w:rsid w:val="0033630E"/>
    <w:rsid w:val="00336F9C"/>
    <w:rsid w:val="00337463"/>
    <w:rsid w:val="00357D0C"/>
    <w:rsid w:val="0037259D"/>
    <w:rsid w:val="00373D95"/>
    <w:rsid w:val="0038265A"/>
    <w:rsid w:val="00382A02"/>
    <w:rsid w:val="003A5DF6"/>
    <w:rsid w:val="003B0251"/>
    <w:rsid w:val="003B7587"/>
    <w:rsid w:val="003E6D18"/>
    <w:rsid w:val="00404E9A"/>
    <w:rsid w:val="004114E3"/>
    <w:rsid w:val="004142B9"/>
    <w:rsid w:val="00415058"/>
    <w:rsid w:val="00417114"/>
    <w:rsid w:val="00423F02"/>
    <w:rsid w:val="0043307A"/>
    <w:rsid w:val="00446B66"/>
    <w:rsid w:val="0045679E"/>
    <w:rsid w:val="00456AA4"/>
    <w:rsid w:val="004810D0"/>
    <w:rsid w:val="004A3C1B"/>
    <w:rsid w:val="004C2662"/>
    <w:rsid w:val="004D017D"/>
    <w:rsid w:val="004D2505"/>
    <w:rsid w:val="004D6F05"/>
    <w:rsid w:val="004D7AA1"/>
    <w:rsid w:val="00536439"/>
    <w:rsid w:val="00540ACA"/>
    <w:rsid w:val="005507E1"/>
    <w:rsid w:val="00566EB3"/>
    <w:rsid w:val="00587D75"/>
    <w:rsid w:val="00596F47"/>
    <w:rsid w:val="005A3D67"/>
    <w:rsid w:val="005D68EA"/>
    <w:rsid w:val="005E0F15"/>
    <w:rsid w:val="00640B2A"/>
    <w:rsid w:val="006555A6"/>
    <w:rsid w:val="006635B0"/>
    <w:rsid w:val="00665DF7"/>
    <w:rsid w:val="00681603"/>
    <w:rsid w:val="006A4A91"/>
    <w:rsid w:val="006B440A"/>
    <w:rsid w:val="006B5A80"/>
    <w:rsid w:val="006C2742"/>
    <w:rsid w:val="006C3BD0"/>
    <w:rsid w:val="006D0854"/>
    <w:rsid w:val="006E58E9"/>
    <w:rsid w:val="00761CA7"/>
    <w:rsid w:val="00761EEF"/>
    <w:rsid w:val="00776648"/>
    <w:rsid w:val="007B71AB"/>
    <w:rsid w:val="007C0715"/>
    <w:rsid w:val="007C1648"/>
    <w:rsid w:val="007F1C3C"/>
    <w:rsid w:val="007F3E68"/>
    <w:rsid w:val="00801F80"/>
    <w:rsid w:val="008043B9"/>
    <w:rsid w:val="008049D2"/>
    <w:rsid w:val="008125FF"/>
    <w:rsid w:val="00820216"/>
    <w:rsid w:val="008456DB"/>
    <w:rsid w:val="00866BFB"/>
    <w:rsid w:val="008872F1"/>
    <w:rsid w:val="0089163B"/>
    <w:rsid w:val="00892BD6"/>
    <w:rsid w:val="00895B67"/>
    <w:rsid w:val="008D7A54"/>
    <w:rsid w:val="008E274F"/>
    <w:rsid w:val="008E2B2B"/>
    <w:rsid w:val="008E4E88"/>
    <w:rsid w:val="008E768B"/>
    <w:rsid w:val="00953944"/>
    <w:rsid w:val="00973C1A"/>
    <w:rsid w:val="0098355C"/>
    <w:rsid w:val="00984FFE"/>
    <w:rsid w:val="009C4E35"/>
    <w:rsid w:val="009C537B"/>
    <w:rsid w:val="009C76AB"/>
    <w:rsid w:val="00A17CB4"/>
    <w:rsid w:val="00A26917"/>
    <w:rsid w:val="00A6090A"/>
    <w:rsid w:val="00A83383"/>
    <w:rsid w:val="00A85595"/>
    <w:rsid w:val="00A90477"/>
    <w:rsid w:val="00AB6324"/>
    <w:rsid w:val="00AD2C70"/>
    <w:rsid w:val="00AE2207"/>
    <w:rsid w:val="00B01BB8"/>
    <w:rsid w:val="00B17952"/>
    <w:rsid w:val="00B21080"/>
    <w:rsid w:val="00B55A64"/>
    <w:rsid w:val="00B669AE"/>
    <w:rsid w:val="00B92D7B"/>
    <w:rsid w:val="00B94A95"/>
    <w:rsid w:val="00BA2E46"/>
    <w:rsid w:val="00BB1703"/>
    <w:rsid w:val="00BD7C60"/>
    <w:rsid w:val="00C00243"/>
    <w:rsid w:val="00C01304"/>
    <w:rsid w:val="00C0212A"/>
    <w:rsid w:val="00C20174"/>
    <w:rsid w:val="00C215FA"/>
    <w:rsid w:val="00C259C7"/>
    <w:rsid w:val="00C27941"/>
    <w:rsid w:val="00C27ADB"/>
    <w:rsid w:val="00C36EB1"/>
    <w:rsid w:val="00C41E2B"/>
    <w:rsid w:val="00C568E9"/>
    <w:rsid w:val="00CA0674"/>
    <w:rsid w:val="00CB48F8"/>
    <w:rsid w:val="00CB5C84"/>
    <w:rsid w:val="00CB5E86"/>
    <w:rsid w:val="00CD096F"/>
    <w:rsid w:val="00CD4817"/>
    <w:rsid w:val="00CF328C"/>
    <w:rsid w:val="00CF5906"/>
    <w:rsid w:val="00CF7FA6"/>
    <w:rsid w:val="00D25F4F"/>
    <w:rsid w:val="00D36C1B"/>
    <w:rsid w:val="00D44652"/>
    <w:rsid w:val="00D52A6A"/>
    <w:rsid w:val="00D53318"/>
    <w:rsid w:val="00D8501D"/>
    <w:rsid w:val="00DA084B"/>
    <w:rsid w:val="00DB41F3"/>
    <w:rsid w:val="00DF5F4B"/>
    <w:rsid w:val="00E14E61"/>
    <w:rsid w:val="00E153A8"/>
    <w:rsid w:val="00E301D2"/>
    <w:rsid w:val="00E42E57"/>
    <w:rsid w:val="00E57F6F"/>
    <w:rsid w:val="00E75DD5"/>
    <w:rsid w:val="00E90ACD"/>
    <w:rsid w:val="00E97543"/>
    <w:rsid w:val="00EB6B4C"/>
    <w:rsid w:val="00EC1A6F"/>
    <w:rsid w:val="00F02D28"/>
    <w:rsid w:val="00F078CC"/>
    <w:rsid w:val="00F10230"/>
    <w:rsid w:val="00F174A2"/>
    <w:rsid w:val="00F22333"/>
    <w:rsid w:val="00F22C67"/>
    <w:rsid w:val="00F2709D"/>
    <w:rsid w:val="00F3066D"/>
    <w:rsid w:val="00F314A7"/>
    <w:rsid w:val="00F446B0"/>
    <w:rsid w:val="00F44A1F"/>
    <w:rsid w:val="00F52620"/>
    <w:rsid w:val="00F758A8"/>
    <w:rsid w:val="00F77833"/>
    <w:rsid w:val="00F77E5D"/>
    <w:rsid w:val="00F8179E"/>
    <w:rsid w:val="00F919B7"/>
    <w:rsid w:val="00FA4049"/>
    <w:rsid w:val="00FA7133"/>
    <w:rsid w:val="00FB1C9A"/>
    <w:rsid w:val="00FB520C"/>
    <w:rsid w:val="00FC5DC4"/>
    <w:rsid w:val="01007FA5"/>
    <w:rsid w:val="014C0F72"/>
    <w:rsid w:val="016853DB"/>
    <w:rsid w:val="02696CFC"/>
    <w:rsid w:val="031C7230"/>
    <w:rsid w:val="03306B8C"/>
    <w:rsid w:val="04B662F2"/>
    <w:rsid w:val="051D4572"/>
    <w:rsid w:val="05573D16"/>
    <w:rsid w:val="06CA6DA1"/>
    <w:rsid w:val="06F366F7"/>
    <w:rsid w:val="073F4A62"/>
    <w:rsid w:val="07CE18DD"/>
    <w:rsid w:val="089808CE"/>
    <w:rsid w:val="095664BF"/>
    <w:rsid w:val="09B86E7F"/>
    <w:rsid w:val="0A0718F5"/>
    <w:rsid w:val="0A9F4195"/>
    <w:rsid w:val="0AA94FA2"/>
    <w:rsid w:val="0AB4389F"/>
    <w:rsid w:val="0BB049CC"/>
    <w:rsid w:val="0BDD0D82"/>
    <w:rsid w:val="0CB1205F"/>
    <w:rsid w:val="0D12337E"/>
    <w:rsid w:val="0D2C77AB"/>
    <w:rsid w:val="0EFC1E9F"/>
    <w:rsid w:val="0F7E1158"/>
    <w:rsid w:val="0F985F85"/>
    <w:rsid w:val="10E16942"/>
    <w:rsid w:val="110000F0"/>
    <w:rsid w:val="12422375"/>
    <w:rsid w:val="126C49FB"/>
    <w:rsid w:val="130D2041"/>
    <w:rsid w:val="131F00EB"/>
    <w:rsid w:val="137C6585"/>
    <w:rsid w:val="141B23B3"/>
    <w:rsid w:val="143771ED"/>
    <w:rsid w:val="14601D7C"/>
    <w:rsid w:val="15CB5A91"/>
    <w:rsid w:val="15E35D08"/>
    <w:rsid w:val="16201D5D"/>
    <w:rsid w:val="1665643A"/>
    <w:rsid w:val="172018FF"/>
    <w:rsid w:val="17C31108"/>
    <w:rsid w:val="183B3024"/>
    <w:rsid w:val="1B415BC7"/>
    <w:rsid w:val="1C823FD5"/>
    <w:rsid w:val="1CEF0D86"/>
    <w:rsid w:val="1F267EA1"/>
    <w:rsid w:val="20582329"/>
    <w:rsid w:val="20AD3B85"/>
    <w:rsid w:val="224131C1"/>
    <w:rsid w:val="2382560C"/>
    <w:rsid w:val="2387457D"/>
    <w:rsid w:val="242B0C8C"/>
    <w:rsid w:val="252E503C"/>
    <w:rsid w:val="265956E8"/>
    <w:rsid w:val="277111FB"/>
    <w:rsid w:val="27AF38A8"/>
    <w:rsid w:val="28AD37CB"/>
    <w:rsid w:val="28EA0255"/>
    <w:rsid w:val="299E408D"/>
    <w:rsid w:val="29E654E5"/>
    <w:rsid w:val="2B8E3883"/>
    <w:rsid w:val="2E2755A5"/>
    <w:rsid w:val="2F7B2B74"/>
    <w:rsid w:val="2FD9466E"/>
    <w:rsid w:val="2FED7630"/>
    <w:rsid w:val="30083A5D"/>
    <w:rsid w:val="31CA7DC8"/>
    <w:rsid w:val="31F41347"/>
    <w:rsid w:val="33CA58C0"/>
    <w:rsid w:val="34BB131C"/>
    <w:rsid w:val="35A45D01"/>
    <w:rsid w:val="36350215"/>
    <w:rsid w:val="36941E25"/>
    <w:rsid w:val="36A44C03"/>
    <w:rsid w:val="36CD6EA5"/>
    <w:rsid w:val="37491867"/>
    <w:rsid w:val="37810E50"/>
    <w:rsid w:val="37AA0860"/>
    <w:rsid w:val="38111509"/>
    <w:rsid w:val="38704DA6"/>
    <w:rsid w:val="39440601"/>
    <w:rsid w:val="3A736AF5"/>
    <w:rsid w:val="3AC8513E"/>
    <w:rsid w:val="3AEF7C9B"/>
    <w:rsid w:val="3BC073E4"/>
    <w:rsid w:val="3BF375EE"/>
    <w:rsid w:val="3C1732DC"/>
    <w:rsid w:val="3C345451"/>
    <w:rsid w:val="3CC86CCC"/>
    <w:rsid w:val="3CF62F90"/>
    <w:rsid w:val="3DA064DF"/>
    <w:rsid w:val="3E7A0894"/>
    <w:rsid w:val="3E82515B"/>
    <w:rsid w:val="3FD220B0"/>
    <w:rsid w:val="3FF22588"/>
    <w:rsid w:val="3FFA5C38"/>
    <w:rsid w:val="4230310B"/>
    <w:rsid w:val="4265497C"/>
    <w:rsid w:val="42C03926"/>
    <w:rsid w:val="43120317"/>
    <w:rsid w:val="4528222D"/>
    <w:rsid w:val="45E70434"/>
    <w:rsid w:val="464222A2"/>
    <w:rsid w:val="478C4AD1"/>
    <w:rsid w:val="484F022F"/>
    <w:rsid w:val="48621D83"/>
    <w:rsid w:val="49290717"/>
    <w:rsid w:val="4936052D"/>
    <w:rsid w:val="49803590"/>
    <w:rsid w:val="498B5A38"/>
    <w:rsid w:val="498E313A"/>
    <w:rsid w:val="499A49CE"/>
    <w:rsid w:val="4A095630"/>
    <w:rsid w:val="4AB368C6"/>
    <w:rsid w:val="4B1B35A5"/>
    <w:rsid w:val="4D866514"/>
    <w:rsid w:val="4DC12B9F"/>
    <w:rsid w:val="4DC360A2"/>
    <w:rsid w:val="4E03108A"/>
    <w:rsid w:val="4E7C3473"/>
    <w:rsid w:val="4EC6244D"/>
    <w:rsid w:val="4F506B2E"/>
    <w:rsid w:val="50177427"/>
    <w:rsid w:val="50242389"/>
    <w:rsid w:val="510A12E0"/>
    <w:rsid w:val="52D63F42"/>
    <w:rsid w:val="539A2935"/>
    <w:rsid w:val="53C46FFC"/>
    <w:rsid w:val="543A4A3D"/>
    <w:rsid w:val="54BF5CB9"/>
    <w:rsid w:val="54C449A1"/>
    <w:rsid w:val="54CF0A50"/>
    <w:rsid w:val="54F00CE8"/>
    <w:rsid w:val="5516017D"/>
    <w:rsid w:val="55681967"/>
    <w:rsid w:val="55B300C2"/>
    <w:rsid w:val="56513022"/>
    <w:rsid w:val="573E0B91"/>
    <w:rsid w:val="58ED2E80"/>
    <w:rsid w:val="59810AE7"/>
    <w:rsid w:val="5BE5564C"/>
    <w:rsid w:val="5CDD2DE8"/>
    <w:rsid w:val="5CFC2F9C"/>
    <w:rsid w:val="5D2F6C6E"/>
    <w:rsid w:val="5E4C4C10"/>
    <w:rsid w:val="5EDA221B"/>
    <w:rsid w:val="60472E01"/>
    <w:rsid w:val="60C66212"/>
    <w:rsid w:val="613738C0"/>
    <w:rsid w:val="64760260"/>
    <w:rsid w:val="6535464F"/>
    <w:rsid w:val="65A820BF"/>
    <w:rsid w:val="665242EE"/>
    <w:rsid w:val="66CB225E"/>
    <w:rsid w:val="67D67452"/>
    <w:rsid w:val="68FB09C9"/>
    <w:rsid w:val="69AE677E"/>
    <w:rsid w:val="69F33208"/>
    <w:rsid w:val="6A06437E"/>
    <w:rsid w:val="6A5D0F60"/>
    <w:rsid w:val="6A7416DE"/>
    <w:rsid w:val="6AA47B81"/>
    <w:rsid w:val="6ADE4DAE"/>
    <w:rsid w:val="6AE362EB"/>
    <w:rsid w:val="6B410883"/>
    <w:rsid w:val="6BAD1237"/>
    <w:rsid w:val="6BF568E6"/>
    <w:rsid w:val="6C80389A"/>
    <w:rsid w:val="6C953733"/>
    <w:rsid w:val="6CD854A1"/>
    <w:rsid w:val="6D286848"/>
    <w:rsid w:val="6D3F33D1"/>
    <w:rsid w:val="6ECE1688"/>
    <w:rsid w:val="6EDD7166"/>
    <w:rsid w:val="6F543924"/>
    <w:rsid w:val="7091449A"/>
    <w:rsid w:val="719B34F1"/>
    <w:rsid w:val="72496B0C"/>
    <w:rsid w:val="72521C0C"/>
    <w:rsid w:val="73636360"/>
    <w:rsid w:val="739347FA"/>
    <w:rsid w:val="73C910A3"/>
    <w:rsid w:val="75D5092A"/>
    <w:rsid w:val="75E83CBD"/>
    <w:rsid w:val="76104365"/>
    <w:rsid w:val="774937B5"/>
    <w:rsid w:val="7809074E"/>
    <w:rsid w:val="784A7A67"/>
    <w:rsid w:val="790E0A75"/>
    <w:rsid w:val="7A2618F6"/>
    <w:rsid w:val="7A330C0C"/>
    <w:rsid w:val="7A7E1F85"/>
    <w:rsid w:val="7B285A01"/>
    <w:rsid w:val="7B335155"/>
    <w:rsid w:val="7B45637B"/>
    <w:rsid w:val="7BF90886"/>
    <w:rsid w:val="7E4C7064"/>
    <w:rsid w:val="7E9F0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4">
    <w:name w:val="heading 3"/>
    <w:basedOn w:val="1"/>
    <w:next w:val="1"/>
    <w:unhideWhenUsed/>
    <w:qFormat/>
    <w:uiPriority w:val="9"/>
    <w:pPr>
      <w:keepNext/>
      <w:keepLines/>
      <w:spacing w:before="260" w:after="260" w:line="413" w:lineRule="auto"/>
      <w:outlineLvl w:val="2"/>
    </w:pPr>
    <w:rPr>
      <w:b/>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widowControl/>
      <w:spacing w:before="100" w:beforeLines="0" w:beforeAutospacing="1" w:after="100" w:afterLines="0" w:afterAutospacing="1"/>
      <w:jc w:val="left"/>
    </w:pPr>
    <w:rPr>
      <w:rFonts w:ascii="宋体" w:hAnsi="宋体"/>
      <w:kern w:val="0"/>
      <w:sz w:val="24"/>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Heading1"/>
    <w:basedOn w:val="1"/>
    <w:next w:val="1"/>
    <w:qFormat/>
    <w:uiPriority w:val="0"/>
    <w:pPr>
      <w:keepNext/>
      <w:keepLines/>
      <w:spacing w:before="100" w:after="100" w:line="580" w:lineRule="exact"/>
      <w:ind w:firstLine="880" w:firstLineChars="200"/>
      <w:textAlignment w:val="baseline"/>
    </w:pPr>
    <w:rPr>
      <w:rFonts w:eastAsia="黑体"/>
      <w:bCs/>
      <w:kern w:val="44"/>
      <w:szCs w:val="44"/>
    </w:rPr>
  </w:style>
  <w:style w:type="character" w:customStyle="1" w:styleId="12">
    <w:name w:val="页眉 Char"/>
    <w:basedOn w:val="10"/>
    <w:link w:val="6"/>
    <w:qFormat/>
    <w:uiPriority w:val="99"/>
    <w:rPr>
      <w:rFonts w:ascii="Times New Roman" w:hAnsi="Times New Roman" w:eastAsia="仿宋_GB2312" w:cs="Times New Roman"/>
      <w:sz w:val="18"/>
      <w:szCs w:val="18"/>
    </w:rPr>
  </w:style>
  <w:style w:type="character" w:customStyle="1" w:styleId="13">
    <w:name w:val="页脚 Char"/>
    <w:basedOn w:val="10"/>
    <w:link w:val="5"/>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825</Words>
  <Characters>4707</Characters>
  <Lines>39</Lines>
  <Paragraphs>11</Paragraphs>
  <TotalTime>1</TotalTime>
  <ScaleCrop>false</ScaleCrop>
  <LinksUpToDate>false</LinksUpToDate>
  <CharactersWithSpaces>5521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2019-06-01T05:51:00Z</dcterms:created>
  <dc:creator>Administrator</dc:creator>
  <cp:lastModifiedBy>遥映人间冰雪样</cp:lastModifiedBy>
  <cp:lastPrinted>2022-12-26T02:23:00Z</cp:lastPrinted>
  <dcterms:modified xsi:type="dcterms:W3CDTF">2023-12-15T09:57:42Z</dcterms:modified>
  <dc:title>合同编号：</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457793D613BB423BB2BCD79915D29A88_13</vt:lpwstr>
  </property>
</Properties>
</file>