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4" w:lineRule="exact"/>
        <w:ind w:left="0" w:right="0"/>
        <w:jc w:val="center"/>
        <w:textAlignment w:val="auto"/>
        <w:rPr>
          <w:rStyle w:val="6"/>
          <w:rFonts w:hint="eastAsia" w:ascii="方正小标宋简体" w:hAnsi="方正小标宋简体" w:eastAsia="方正小标宋简体" w:cs="方正小标宋简体"/>
          <w:b w:val="0"/>
          <w:bCs/>
          <w:sz w:val="44"/>
          <w:szCs w:val="44"/>
          <w:bdr w:val="none" w:color="auto" w:sz="0" w:space="0"/>
          <w:lang w:val="en-US" w:eastAsia="zh-CN"/>
        </w:rPr>
      </w:pPr>
      <w:r>
        <w:rPr>
          <w:rStyle w:val="6"/>
          <w:rFonts w:hint="eastAsia" w:ascii="方正小标宋简体" w:hAnsi="方正小标宋简体" w:eastAsia="方正小标宋简体" w:cs="方正小标宋简体"/>
          <w:b w:val="0"/>
          <w:bCs/>
          <w:sz w:val="44"/>
          <w:szCs w:val="44"/>
          <w:bdr w:val="none" w:color="auto" w:sz="0" w:space="0"/>
        </w:rPr>
        <w:t>韶关市曲江区</w:t>
      </w:r>
      <w:r>
        <w:rPr>
          <w:rStyle w:val="6"/>
          <w:rFonts w:hint="eastAsia" w:ascii="方正小标宋简体" w:hAnsi="方正小标宋简体" w:eastAsia="方正小标宋简体" w:cs="方正小标宋简体"/>
          <w:b w:val="0"/>
          <w:bCs/>
          <w:sz w:val="44"/>
          <w:szCs w:val="44"/>
          <w:bdr w:val="none" w:color="auto" w:sz="0" w:space="0"/>
          <w:lang w:val="en-US" w:eastAsia="zh-CN"/>
        </w:rPr>
        <w:t>松山街道办事处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4" w:lineRule="exact"/>
        <w:ind w:left="0" w:right="0"/>
        <w:jc w:val="center"/>
        <w:textAlignment w:val="auto"/>
        <w:rPr>
          <w:rStyle w:val="6"/>
          <w:rFonts w:hint="eastAsia" w:ascii="方正小标宋简体" w:hAnsi="方正小标宋简体" w:eastAsia="方正小标宋简体" w:cs="方正小标宋简体"/>
          <w:b w:val="0"/>
          <w:bCs/>
          <w:sz w:val="44"/>
          <w:szCs w:val="44"/>
          <w:bdr w:val="none" w:color="auto" w:sz="0" w:space="0"/>
        </w:rPr>
      </w:pPr>
      <w:r>
        <w:rPr>
          <w:rStyle w:val="6"/>
          <w:rFonts w:hint="eastAsia" w:ascii="方正小标宋简体" w:hAnsi="方正小标宋简体" w:eastAsia="方正小标宋简体" w:cs="方正小标宋简体"/>
          <w:b w:val="0"/>
          <w:bCs/>
          <w:sz w:val="44"/>
          <w:szCs w:val="44"/>
          <w:bdr w:val="none" w:color="auto" w:sz="0" w:space="0"/>
        </w:rPr>
        <w:t>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6"/>
          <w:b/>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b/>
          <w:bdr w:val="none" w:color="auto" w:sz="0" w:space="0"/>
        </w:rPr>
        <w:t>一、概述</w:t>
      </w:r>
      <w:r>
        <w:rPr>
          <w:bdr w:val="none" w:color="auto" w:sz="0" w:space="0"/>
        </w:rPr>
        <w:br w:type="textWrapping"/>
      </w:r>
      <w:r>
        <w:rPr>
          <w:bdr w:val="none" w:color="auto" w:sz="0" w:space="0"/>
        </w:rPr>
        <w:t>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w:t>
      </w:r>
      <w:r>
        <w:rPr>
          <w:rFonts w:hint="eastAsia"/>
          <w:bdr w:val="none" w:color="auto" w:sz="0" w:space="0"/>
          <w:lang w:val="en-US" w:eastAsia="zh-CN"/>
        </w:rPr>
        <w:t>松山街道</w:t>
      </w:r>
      <w:r>
        <w:rPr>
          <w:bdr w:val="none" w:color="auto" w:sz="0" w:space="0"/>
        </w:rPr>
        <w:t>主动公开的标准化、规范化水平，特制定本目录。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（一）公开事项和内容</w:t>
      </w:r>
      <w:r>
        <w:rPr>
          <w:bdr w:val="none" w:color="auto" w:sz="0" w:space="0"/>
        </w:rPr>
        <w:br w:type="textWrapping"/>
      </w:r>
      <w:r>
        <w:rPr>
          <w:bdr w:val="none" w:color="auto" w:sz="0" w:space="0"/>
        </w:rPr>
        <w:t>重点公开机构职能、规章文件、规划计划、工作动态、业务工作、统计信息、其它、</w:t>
      </w:r>
      <w:r>
        <w:rPr>
          <w:rFonts w:hint="eastAsia"/>
          <w:lang w:val="en-US" w:eastAsia="zh-CN"/>
        </w:rPr>
        <w:t>政府信息公开指南、政府信息依申请公开、</w:t>
      </w:r>
      <w:r>
        <w:rPr>
          <w:rFonts w:hint="eastAsia"/>
          <w:bdr w:val="none" w:color="auto" w:sz="0" w:space="0"/>
          <w:lang w:val="en-US" w:eastAsia="zh-CN"/>
        </w:rPr>
        <w:t>政府信息公开工作年度报告</w:t>
      </w:r>
      <w:r>
        <w:rPr>
          <w:bdr w:val="none" w:color="auto" w:sz="0" w:space="0"/>
        </w:rPr>
        <w:t>等</w:t>
      </w:r>
      <w:r>
        <w:rPr>
          <w:rFonts w:hint="eastAsia"/>
          <w:bdr w:val="none" w:color="auto" w:sz="0" w:space="0"/>
          <w:lang w:val="en-US" w:eastAsia="zh-CN"/>
        </w:rPr>
        <w:t>十</w:t>
      </w:r>
      <w:r>
        <w:rPr>
          <w:bdr w:val="none" w:color="auto" w:sz="0" w:space="0"/>
        </w:rPr>
        <w:t>类1</w:t>
      </w:r>
      <w:r>
        <w:rPr>
          <w:rFonts w:hint="eastAsia"/>
          <w:bdr w:val="none" w:color="auto" w:sz="0" w:space="0"/>
          <w:lang w:val="en-US" w:eastAsia="zh-CN"/>
        </w:rPr>
        <w:t>7</w:t>
      </w:r>
      <w:r>
        <w:rPr>
          <w:bdr w:val="none" w:color="auto" w:sz="0" w:space="0"/>
        </w:rPr>
        <w:t>项内容。</w:t>
      </w:r>
      <w:r>
        <w:rPr>
          <w:bdr w:val="none" w:color="auto" w:sz="0" w:space="0"/>
        </w:rPr>
        <w:br w:type="textWrapping"/>
      </w:r>
      <w:r>
        <w:rPr>
          <w:bdr w:val="none" w:color="auto" w:sz="0" w:space="0"/>
        </w:rPr>
        <w:t>（二）公开时限</w:t>
      </w:r>
      <w:r>
        <w:rPr>
          <w:bdr w:val="none" w:color="auto" w:sz="0" w:space="0"/>
        </w:rPr>
        <w:br w:type="textWrapping"/>
      </w:r>
      <w:r>
        <w:rPr>
          <w:bdr w:val="none" w:color="auto" w:sz="0" w:space="0"/>
        </w:rPr>
        <w:t>公开时限为自相关信息形成或变更之日起20个工作日内（法律法规、政策文件对公开期限另有规定的，从其规定）。</w:t>
      </w:r>
      <w:r>
        <w:rPr>
          <w:bdr w:val="none" w:color="auto" w:sz="0" w:space="0"/>
        </w:rPr>
        <w:br w:type="textWrapping"/>
      </w:r>
      <w:r>
        <w:rPr>
          <w:bdr w:val="none" w:color="auto" w:sz="0" w:space="0"/>
        </w:rPr>
        <w:t>（三）公开方式</w:t>
      </w:r>
      <w:r>
        <w:rPr>
          <w:bdr w:val="none" w:color="auto" w:sz="0" w:space="0"/>
        </w:rPr>
        <w:br w:type="textWrapping"/>
      </w:r>
      <w:r>
        <w:rPr>
          <w:bdr w:val="none" w:color="auto" w:sz="0" w:space="0"/>
        </w:rPr>
        <w:t>通过门户网站等形式主动公开。</w:t>
      </w:r>
      <w:r>
        <w:rPr>
          <w:bdr w:val="none" w:color="auto" w:sz="0" w:space="0"/>
        </w:rPr>
        <w:br w:type="textWrapping"/>
      </w:r>
      <w:r>
        <w:rPr>
          <w:bdr w:val="none" w:color="auto" w:sz="0" w:space="0"/>
        </w:rPr>
        <w:t>（四）责任主体</w:t>
      </w:r>
      <w:r>
        <w:rPr>
          <w:bdr w:val="none" w:color="auto" w:sz="0" w:space="0"/>
        </w:rPr>
        <w:br w:type="textWrapping"/>
      </w:r>
      <w:r>
        <w:rPr>
          <w:bdr w:val="none" w:color="auto" w:sz="0" w:space="0"/>
        </w:rPr>
        <w:t>党政办牵头，各有关办公室根据责任分工分别负责（详见主动公开事项表）。</w:t>
      </w:r>
      <w:r>
        <w:rPr>
          <w:bdr w:val="none" w:color="auto" w:sz="0" w:space="0"/>
        </w:rPr>
        <w:br w:type="textWrapping"/>
      </w:r>
      <w:r>
        <w:rPr>
          <w:bdr w:val="none" w:color="auto" w:sz="0" w:space="0"/>
        </w:rPr>
        <w:t>（五）监督渠道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党政办负责受理公民、法人和其他组织对</w:t>
      </w:r>
      <w:r>
        <w:rPr>
          <w:rFonts w:hint="eastAsia"/>
          <w:bdr w:val="none" w:color="auto" w:sz="0" w:space="0"/>
          <w:lang w:val="en-US" w:eastAsia="zh-CN"/>
        </w:rPr>
        <w:t>街道办事处</w:t>
      </w:r>
      <w:r>
        <w:rPr>
          <w:bdr w:val="none" w:color="auto" w:sz="0" w:space="0"/>
        </w:rPr>
        <w:t>主动公开工作的意见和建议。通讯地址：韶关市曲江区</w:t>
      </w:r>
      <w:r>
        <w:rPr>
          <w:rFonts w:hint="eastAsia"/>
          <w:bdr w:val="none" w:color="auto" w:sz="0" w:space="0"/>
          <w:lang w:val="en-US" w:eastAsia="zh-CN"/>
        </w:rPr>
        <w:t>松山街道办事处</w:t>
      </w:r>
      <w:r>
        <w:rPr>
          <w:bdr w:val="none" w:color="auto" w:sz="0" w:space="0"/>
        </w:rPr>
        <w:t>，邮编：512</w:t>
      </w:r>
      <w:r>
        <w:rPr>
          <w:rFonts w:hint="eastAsia"/>
          <w:bdr w:val="none" w:color="auto" w:sz="0" w:space="0"/>
          <w:lang w:val="en-US" w:eastAsia="zh-CN"/>
        </w:rPr>
        <w:t>123</w:t>
      </w:r>
      <w:r>
        <w:rPr>
          <w:bdr w:val="none" w:color="auto" w:sz="0" w:space="0"/>
        </w:rPr>
        <w:t>，电话：0751-</w:t>
      </w:r>
      <w:r>
        <w:rPr>
          <w:rFonts w:hint="eastAsia"/>
          <w:bdr w:val="none" w:color="auto" w:sz="0" w:space="0"/>
          <w:lang w:val="en-US" w:eastAsia="zh-CN"/>
        </w:rPr>
        <w:t>8799939</w:t>
      </w:r>
      <w:r>
        <w:rPr>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b/>
          <w:bdr w:val="none" w:color="auto" w:sz="0" w:space="0"/>
        </w:rPr>
        <w:t>二、主动公开基本目录</w:t>
      </w:r>
    </w:p>
    <w:tbl>
      <w:tblPr>
        <w:tblW w:w="8565" w:type="dxa"/>
        <w:tblInd w:w="0" w:type="dxa"/>
        <w:shd w:val="clear"/>
        <w:tblLayout w:type="autofit"/>
        <w:tblCellMar>
          <w:top w:w="15" w:type="dxa"/>
          <w:left w:w="15" w:type="dxa"/>
          <w:bottom w:w="15" w:type="dxa"/>
          <w:right w:w="15" w:type="dxa"/>
        </w:tblCellMar>
      </w:tblPr>
      <w:tblGrid>
        <w:gridCol w:w="721"/>
        <w:gridCol w:w="1653"/>
        <w:gridCol w:w="15"/>
        <w:gridCol w:w="1653"/>
        <w:gridCol w:w="2825"/>
        <w:gridCol w:w="1698"/>
      </w:tblGrid>
      <w:tr>
        <w:tblPrEx>
          <w:shd w:val="clear"/>
          <w:tblCellMar>
            <w:top w:w="15" w:type="dxa"/>
            <w:left w:w="15" w:type="dxa"/>
            <w:bottom w:w="15" w:type="dxa"/>
            <w:right w:w="15" w:type="dxa"/>
          </w:tblCellMar>
        </w:tblPrEx>
        <w:tc>
          <w:tcPr>
            <w:tcW w:w="7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序号</w:t>
            </w:r>
          </w:p>
        </w:tc>
        <w:tc>
          <w:tcPr>
            <w:tcW w:w="3321" w:type="dxa"/>
            <w:gridSpan w:val="3"/>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公开类别及事项</w:t>
            </w:r>
          </w:p>
        </w:tc>
        <w:tc>
          <w:tcPr>
            <w:tcW w:w="2825" w:type="dxa"/>
            <w:vMerge w:val="restart"/>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公开内容</w:t>
            </w:r>
          </w:p>
        </w:tc>
        <w:tc>
          <w:tcPr>
            <w:tcW w:w="1698" w:type="dxa"/>
            <w:vMerge w:val="restart"/>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责任股室</w:t>
            </w:r>
          </w:p>
        </w:tc>
      </w:tr>
      <w:tr>
        <w:tblPrEx>
          <w:shd w:val="clear"/>
          <w:tblCellMar>
            <w:top w:w="15" w:type="dxa"/>
            <w:left w:w="15" w:type="dxa"/>
            <w:bottom w:w="15" w:type="dxa"/>
            <w:right w:w="15" w:type="dxa"/>
          </w:tblCellMar>
        </w:tblPrEx>
        <w:tc>
          <w:tcPr>
            <w:tcW w:w="7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rPr>
                <w:rFonts w:hint="eastAsia" w:ascii="宋体"/>
                <w:sz w:val="24"/>
                <w:szCs w:val="24"/>
              </w:rPr>
            </w:pP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一级</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二级</w:t>
            </w:r>
          </w:p>
        </w:tc>
        <w:tc>
          <w:tcPr>
            <w:tcW w:w="2825" w:type="dxa"/>
            <w:vMerge w:val="continue"/>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rPr>
                <w:rFonts w:hint="eastAsia" w:ascii="宋体"/>
                <w:sz w:val="24"/>
                <w:szCs w:val="24"/>
              </w:rPr>
            </w:pPr>
          </w:p>
        </w:tc>
        <w:tc>
          <w:tcPr>
            <w:tcW w:w="1698" w:type="dxa"/>
            <w:vMerge w:val="continue"/>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rPr>
                <w:rFonts w:hint="eastAsia" w:ascii="宋体"/>
                <w:sz w:val="24"/>
                <w:szCs w:val="24"/>
              </w:rPr>
            </w:pP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1</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一、机构职能</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机构概况</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本机关机构设置及主要职能情况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党政办</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2</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rPr>
                <w:rFonts w:hint="eastAsia" w:ascii="宋体"/>
                <w:sz w:val="24"/>
                <w:szCs w:val="24"/>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机构领导</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机构领导及分工情况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党建办</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3</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rPr>
                <w:rFonts w:hint="eastAsia" w:ascii="宋体"/>
                <w:sz w:val="24"/>
                <w:szCs w:val="24"/>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内设机构</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内设机构设置及职能情况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党建办</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4</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二、规章文件</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规章</w:t>
            </w:r>
          </w:p>
        </w:tc>
        <w:tc>
          <w:tcPr>
            <w:tcW w:w="2825" w:type="dxa"/>
            <w:tcBorders>
              <w:top w:val="nil"/>
              <w:left w:val="nil"/>
              <w:bottom w:val="nil"/>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行政法规、规章、规划、规定、办法文件及解读</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党政办</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5</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rPr>
                <w:rFonts w:hint="eastAsia" w:ascii="宋体"/>
                <w:sz w:val="24"/>
                <w:szCs w:val="24"/>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规范性文件</w:t>
            </w:r>
          </w:p>
        </w:tc>
        <w:tc>
          <w:tcPr>
            <w:tcW w:w="2825" w:type="dxa"/>
            <w:tcBorders>
              <w:top w:val="single" w:color="000000"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文件名称、文号、正文、发布机构、成文时间、发布时间</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党政办</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6</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三、规</w:t>
            </w:r>
            <w:bookmarkStart w:id="0" w:name="_GoBack"/>
            <w:bookmarkEnd w:id="0"/>
            <w:r>
              <w:rPr>
                <w:bdr w:val="none" w:color="auto" w:sz="0" w:space="0"/>
              </w:rPr>
              <w:t>划计划</w:t>
            </w:r>
          </w:p>
        </w:tc>
        <w:tc>
          <w:tcPr>
            <w:tcW w:w="1668" w:type="dxa"/>
            <w:gridSpan w:val="2"/>
            <w:tcBorders>
              <w:top w:val="nil"/>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ascii="Helvetica" w:hAnsi="Helvetica" w:eastAsia="Helvetica" w:cs="Helvetica"/>
                <w:i w:val="0"/>
                <w:caps w:val="0"/>
                <w:color w:val="000000"/>
                <w:spacing w:val="0"/>
                <w:sz w:val="27"/>
                <w:szCs w:val="27"/>
                <w:shd w:val="clear" w:fill="FFFFFF"/>
              </w:rPr>
              <w:t>年度工作计划</w:t>
            </w:r>
          </w:p>
        </w:tc>
        <w:tc>
          <w:tcPr>
            <w:tcW w:w="2825"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ascii="Helvetica" w:hAnsi="Helvetica" w:eastAsia="Helvetica" w:cs="Helvetica"/>
                <w:i w:val="0"/>
                <w:caps w:val="0"/>
                <w:color w:val="000000"/>
                <w:spacing w:val="0"/>
                <w:sz w:val="27"/>
                <w:szCs w:val="27"/>
                <w:shd w:val="clear" w:fill="FFFFFF"/>
              </w:rPr>
              <w:t>国民经济和社会发展计划、重点项目计划、投资计划、资金安排计划等</w:t>
            </w:r>
          </w:p>
        </w:tc>
        <w:tc>
          <w:tcPr>
            <w:tcW w:w="1698" w:type="dxa"/>
            <w:tcBorders>
              <w:top w:val="nil"/>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各有关办公室</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7</w:t>
            </w:r>
          </w:p>
        </w:tc>
        <w:tc>
          <w:tcPr>
            <w:tcW w:w="1653" w:type="dxa"/>
            <w:vMerge w:val="continue"/>
            <w:tcBorders>
              <w:top w:val="nil"/>
              <w:left w:val="nil"/>
              <w:bottom w:val="single" w:color="000000" w:sz="4" w:space="0"/>
              <w:right w:val="single" w:color="auto" w:sz="4" w:space="0"/>
            </w:tcBorders>
            <w:shd w:val="clear" w:color="auto" w:fill="FFFFFF"/>
            <w:tcMar>
              <w:top w:w="60" w:type="dxa"/>
              <w:left w:w="90" w:type="dxa"/>
              <w:bottom w:w="60" w:type="dxa"/>
              <w:right w:w="90" w:type="dxa"/>
            </w:tcMar>
            <w:vAlign w:val="center"/>
          </w:tcPr>
          <w:p>
            <w:pPr>
              <w:rPr>
                <w:rFonts w:hint="eastAsia" w:ascii="宋体"/>
                <w:sz w:val="24"/>
                <w:szCs w:val="24"/>
              </w:rPr>
            </w:pPr>
          </w:p>
        </w:tc>
        <w:tc>
          <w:tcPr>
            <w:tcW w:w="1668"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pPr>
            <w:r>
              <w:t>专项规划</w:t>
            </w:r>
          </w:p>
        </w:tc>
        <w:tc>
          <w:tcPr>
            <w:tcW w:w="2825" w:type="dxa"/>
            <w:tcBorders>
              <w:top w:val="single" w:color="auto" w:sz="4" w:space="0"/>
              <w:left w:val="single" w:color="auto" w:sz="4" w:space="0"/>
              <w:bottom w:val="single" w:color="000000"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pPr>
            <w:r>
              <w:t>国民经济和社会发展规划、专项规划、区域规划，行动计划、行动方案等</w:t>
            </w:r>
          </w:p>
        </w:tc>
        <w:tc>
          <w:tcPr>
            <w:tcW w:w="1698"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pPr>
            <w:r>
              <w:t>各有关办公室</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8</w:t>
            </w: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四、工作动态</w:t>
            </w:r>
          </w:p>
        </w:tc>
        <w:tc>
          <w:tcPr>
            <w:tcW w:w="1668" w:type="dxa"/>
            <w:gridSpan w:val="2"/>
            <w:tcBorders>
              <w:top w:val="single" w:color="auto"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eastAsiaTheme="minorEastAsia"/>
                <w:lang w:val="en-US" w:eastAsia="zh-CN"/>
              </w:rPr>
            </w:pPr>
            <w:r>
              <w:rPr>
                <w:bdr w:val="none" w:color="auto" w:sz="0" w:space="0"/>
              </w:rPr>
              <w:t>工作进展</w:t>
            </w:r>
            <w:r>
              <w:rPr>
                <w:rFonts w:hint="eastAsia"/>
                <w:bdr w:val="none" w:color="auto" w:sz="0" w:space="0"/>
                <w:lang w:val="en-US" w:eastAsia="zh-CN"/>
              </w:rPr>
              <w:t>情况</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bdr w:val="none" w:color="auto" w:sz="0" w:space="0"/>
                <w:lang w:val="en-US" w:eastAsia="zh-CN"/>
              </w:rPr>
              <w:t>松山街道</w:t>
            </w:r>
            <w:r>
              <w:rPr>
                <w:bdr w:val="none" w:color="auto" w:sz="0" w:space="0"/>
              </w:rPr>
              <w:t>日常工作动态</w:t>
            </w:r>
          </w:p>
        </w:tc>
        <w:tc>
          <w:tcPr>
            <w:tcW w:w="1698" w:type="dxa"/>
            <w:tcBorders>
              <w:top w:val="single" w:color="auto"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各有关办公室</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9</w:t>
            </w:r>
          </w:p>
        </w:tc>
        <w:tc>
          <w:tcPr>
            <w:tcW w:w="3321" w:type="dxa"/>
            <w:gridSpan w:val="3"/>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五、业务工作</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bdr w:val="none" w:color="auto" w:sz="0" w:space="0"/>
                <w:lang w:val="en-US" w:eastAsia="zh-CN"/>
              </w:rPr>
              <w:t>街道各部门</w:t>
            </w:r>
            <w:r>
              <w:rPr>
                <w:bdr w:val="none" w:color="auto" w:sz="0" w:space="0"/>
              </w:rPr>
              <w:t>业务相关的做法、活动、总结、公告等</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各有关办公室</w:t>
            </w:r>
          </w:p>
        </w:tc>
      </w:tr>
      <w:tr>
        <w:tblPrEx>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10</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六、统计信息</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财政预结算</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年度财政预算、结算信息</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eastAsiaTheme="minorEastAsia"/>
                <w:lang w:val="en-US" w:eastAsia="zh-CN"/>
              </w:rPr>
            </w:pPr>
            <w:r>
              <w:rPr>
                <w:rFonts w:hint="eastAsia"/>
                <w:lang w:val="en-US" w:eastAsia="zh-CN"/>
              </w:rPr>
              <w:t>财务室</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11</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rPr>
                <w:rFonts w:hint="eastAsia" w:ascii="宋体"/>
                <w:sz w:val="24"/>
                <w:szCs w:val="24"/>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“三公”经费</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会议费及“三公”经费支出</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lang w:val="en-US" w:eastAsia="zh-CN"/>
              </w:rPr>
              <w:t>财务室</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12</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rPr>
                <w:rFonts w:hint="eastAsia" w:ascii="宋体"/>
                <w:sz w:val="24"/>
                <w:szCs w:val="24"/>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其他</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其他方面的信息</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lang w:val="en-US" w:eastAsia="zh-CN"/>
              </w:rPr>
              <w:t>财务室</w:t>
            </w:r>
          </w:p>
        </w:tc>
      </w:tr>
      <w:tr>
        <w:tblPrEx>
          <w:shd w:val="clear"/>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13</w:t>
            </w:r>
          </w:p>
        </w:tc>
        <w:tc>
          <w:tcPr>
            <w:tcW w:w="1668" w:type="dxa"/>
            <w:gridSpan w:val="2"/>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七、其他</w:t>
            </w: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内部人事任免</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干部任免、岗位调整</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党建办</w:t>
            </w:r>
          </w:p>
        </w:tc>
      </w:tr>
      <w:tr>
        <w:tblPrEx>
          <w:tblCellMar>
            <w:top w:w="15" w:type="dxa"/>
            <w:left w:w="15" w:type="dxa"/>
            <w:bottom w:w="15" w:type="dxa"/>
            <w:right w:w="15" w:type="dxa"/>
          </w:tblCellMar>
        </w:tblPrEx>
        <w:tc>
          <w:tcPr>
            <w:tcW w:w="721" w:type="dxa"/>
            <w:tcBorders>
              <w:top w:val="nil"/>
              <w:left w:val="single" w:color="000000"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14</w:t>
            </w:r>
          </w:p>
        </w:tc>
        <w:tc>
          <w:tcPr>
            <w:tcW w:w="1668" w:type="dxa"/>
            <w:gridSpan w:val="2"/>
            <w:vMerge w:val="continue"/>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rPr>
                <w:rFonts w:hint="eastAsia" w:ascii="宋体"/>
                <w:sz w:val="24"/>
                <w:szCs w:val="24"/>
              </w:rPr>
            </w:pPr>
          </w:p>
        </w:tc>
        <w:tc>
          <w:tcPr>
            <w:tcW w:w="1653"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招聘录用情况</w:t>
            </w:r>
          </w:p>
        </w:tc>
        <w:tc>
          <w:tcPr>
            <w:tcW w:w="2825"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公务员录用等信息</w:t>
            </w:r>
          </w:p>
        </w:tc>
        <w:tc>
          <w:tcPr>
            <w:tcW w:w="1698"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党建办</w:t>
            </w:r>
          </w:p>
        </w:tc>
      </w:tr>
      <w:tr>
        <w:tblPrEx>
          <w:shd w:val="clear"/>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t>15</w:t>
            </w:r>
          </w:p>
        </w:tc>
        <w:tc>
          <w:tcPr>
            <w:tcW w:w="3321" w:type="dxa"/>
            <w:gridSpan w:val="3"/>
            <w:tcBorders>
              <w:top w:val="single" w:color="auto"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eastAsiaTheme="minorEastAsia"/>
                <w:lang w:val="en-US" w:eastAsia="zh-CN"/>
              </w:rPr>
            </w:pPr>
            <w:r>
              <w:rPr>
                <w:bdr w:val="none" w:color="auto" w:sz="0" w:space="0"/>
              </w:rPr>
              <w:t>八、</w:t>
            </w:r>
            <w:r>
              <w:rPr>
                <w:rFonts w:hint="eastAsia"/>
                <w:bdr w:val="none" w:color="auto" w:sz="0" w:space="0"/>
                <w:lang w:val="en-US" w:eastAsia="zh-CN"/>
              </w:rPr>
              <w:t>政府信息公开指南</w:t>
            </w:r>
          </w:p>
        </w:tc>
        <w:tc>
          <w:tcPr>
            <w:tcW w:w="2825" w:type="dxa"/>
            <w:tcBorders>
              <w:top w:val="single" w:color="auto"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lang w:val="en-US" w:eastAsia="zh-CN"/>
              </w:rPr>
              <w:t>松山街道信息公开指南</w:t>
            </w:r>
          </w:p>
        </w:tc>
        <w:tc>
          <w:tcPr>
            <w:tcW w:w="1698" w:type="dxa"/>
            <w:tcBorders>
              <w:top w:val="single" w:color="auto" w:sz="4" w:space="0"/>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党政办</w:t>
            </w:r>
          </w:p>
        </w:tc>
      </w:tr>
      <w:tr>
        <w:tblPrEx>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eastAsiaTheme="minorEastAsia"/>
                <w:bdr w:val="none" w:color="auto" w:sz="0" w:space="0"/>
                <w:lang w:val="en-US" w:eastAsia="zh-CN"/>
              </w:rPr>
            </w:pPr>
            <w:r>
              <w:rPr>
                <w:rFonts w:hint="eastAsia"/>
                <w:bdr w:val="none" w:color="auto" w:sz="0" w:space="0"/>
                <w:lang w:val="en-US" w:eastAsia="zh-CN"/>
              </w:rPr>
              <w:t>16</w:t>
            </w:r>
          </w:p>
        </w:tc>
        <w:tc>
          <w:tcPr>
            <w:tcW w:w="332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eastAsiaTheme="minorEastAsia"/>
                <w:bdr w:val="none" w:color="auto" w:sz="0" w:space="0"/>
                <w:lang w:val="en-US" w:eastAsia="zh-CN"/>
              </w:rPr>
            </w:pPr>
            <w:r>
              <w:rPr>
                <w:rFonts w:hint="eastAsia"/>
                <w:bdr w:val="none" w:color="auto" w:sz="0" w:space="0"/>
                <w:lang w:val="en-US" w:eastAsia="zh-CN"/>
              </w:rPr>
              <w:t>九、政府信息依申请公开</w:t>
            </w:r>
          </w:p>
        </w:tc>
        <w:tc>
          <w:tcPr>
            <w:tcW w:w="2825"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eastAsiaTheme="minorEastAsia"/>
                <w:bdr w:val="none" w:color="auto" w:sz="0" w:space="0"/>
                <w:lang w:val="en-US" w:eastAsia="zh-CN"/>
              </w:rPr>
            </w:pPr>
            <w:r>
              <w:rPr>
                <w:rFonts w:hint="eastAsia"/>
                <w:bdr w:val="none" w:color="auto" w:sz="0" w:space="0"/>
                <w:lang w:val="en-US" w:eastAsia="zh-CN"/>
              </w:rPr>
              <w:t>松山街道信息公开</w:t>
            </w:r>
          </w:p>
        </w:tc>
        <w:tc>
          <w:tcPr>
            <w:tcW w:w="1698"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bdr w:val="none" w:color="auto" w:sz="0" w:space="0"/>
              </w:rPr>
            </w:pPr>
            <w:r>
              <w:t>党政办</w:t>
            </w:r>
          </w:p>
        </w:tc>
      </w:tr>
      <w:tr>
        <w:tblPrEx>
          <w:shd w:val="clear"/>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bdr w:val="none" w:color="auto" w:sz="0" w:space="0"/>
                <w:lang w:val="en-US" w:eastAsia="zh-CN"/>
              </w:rPr>
            </w:pPr>
            <w:r>
              <w:rPr>
                <w:rFonts w:hint="eastAsia"/>
                <w:bdr w:val="none" w:color="auto" w:sz="0" w:space="0"/>
                <w:lang w:val="en-US" w:eastAsia="zh-CN"/>
              </w:rPr>
              <w:t>17</w:t>
            </w:r>
          </w:p>
        </w:tc>
        <w:tc>
          <w:tcPr>
            <w:tcW w:w="332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eastAsiaTheme="minorEastAsia"/>
                <w:bdr w:val="none" w:color="auto" w:sz="0" w:space="0"/>
                <w:lang w:val="en-US" w:eastAsia="zh-CN"/>
              </w:rPr>
            </w:pPr>
            <w:r>
              <w:rPr>
                <w:rFonts w:hint="eastAsia"/>
                <w:bdr w:val="none" w:color="auto" w:sz="0" w:space="0"/>
                <w:lang w:val="en-US" w:eastAsia="zh-CN"/>
              </w:rPr>
              <w:t>十、政府信息公开工作年度报告</w:t>
            </w:r>
          </w:p>
        </w:tc>
        <w:tc>
          <w:tcPr>
            <w:tcW w:w="2825" w:type="dxa"/>
            <w:tcBorders>
              <w:top w:val="single" w:color="auto" w:sz="4" w:space="0"/>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bdr w:val="none" w:color="auto" w:sz="0" w:space="0"/>
              </w:rPr>
            </w:pPr>
            <w:r>
              <w:rPr>
                <w:rFonts w:hint="eastAsia"/>
                <w:lang w:val="en-US" w:eastAsia="zh-CN"/>
              </w:rPr>
              <w:t>松山街道</w:t>
            </w:r>
            <w:r>
              <w:t>年度信息报告</w:t>
            </w:r>
          </w:p>
        </w:tc>
        <w:tc>
          <w:tcPr>
            <w:tcW w:w="1698" w:type="dxa"/>
            <w:tcBorders>
              <w:top w:val="single" w:color="auto" w:sz="4" w:space="0"/>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bdr w:val="none" w:color="auto" w:sz="0" w:space="0"/>
              </w:rPr>
            </w:pPr>
            <w:r>
              <w:t>党政办</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ascii="黑体" w:hAnsi="宋体" w:eastAsia="黑体" w:cs="黑体"/>
          <w:b/>
          <w:bdr w:val="none" w:color="auto" w:sz="0" w:space="0"/>
        </w:rPr>
        <w:t>公开方式：</w:t>
      </w:r>
      <w:r>
        <w:rPr>
          <w:bdr w:val="none" w:color="auto" w:sz="0" w:space="0"/>
        </w:rPr>
        <w:t>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984" w:right="1474" w:bottom="1757" w:left="1531" w:header="850" w:footer="1417" w:gutter="0"/>
      <w:pgNumType w:fmt="numberInDash"/>
      <w:cols w:space="0" w:num="1"/>
      <w:titlePg/>
      <w:rtlGutter w:val="0"/>
      <w:docGrid w:type="linesAndChars" w:linePitch="595" w:charSpace="4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23272"/>
    <w:rsid w:val="63C8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2021-09-18T03:13:00Z</dcterms:created>
  <dc:creator>Administrator</dc:creator>
  <cp:lastModifiedBy>German</cp:lastModifiedBy>
  <dcterms:modified xsi:type="dcterms:W3CDTF">2021-12-13T05:52:16Z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