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center"/>
        <w:rPr>
          <w:rFonts w:ascii="Microsoft YaHei" w:hAnsi="Microsoft YaHei" w:eastAsia="Microsoft YaHei" w:cs="Microsoft YaHei"/>
          <w:i w:val="0"/>
          <w:iCs w:val="0"/>
          <w:caps w:val="0"/>
          <w:color w:val="424242"/>
          <w:spacing w:val="0"/>
          <w:sz w:val="27"/>
          <w:szCs w:val="27"/>
        </w:rPr>
      </w:pPr>
      <w:r>
        <w:rPr>
          <w:rFonts w:ascii="FZXiaoBiaoSong-B05S" w:hAnsi="FZXiaoBiaoSong-B05S" w:eastAsia="FZXiaoBiaoSong-B05S" w:cs="FZXiaoBiaoSong-B05S"/>
          <w:i w:val="0"/>
          <w:iCs w:val="0"/>
          <w:caps w:val="0"/>
          <w:color w:val="424242"/>
          <w:spacing w:val="0"/>
          <w:sz w:val="44"/>
          <w:szCs w:val="44"/>
          <w:bdr w:val="none" w:color="auto" w:sz="0" w:space="0"/>
          <w:shd w:val="clear" w:fill="FFFFFF"/>
          <w:lang w:eastAsia="zh-CN"/>
        </w:rPr>
        <w:t>韶关市曲江区交通运输局主动公开基本目录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center"/>
        <w:rPr>
          <w:rFonts w:hint="eastAsia" w:ascii="Microsoft YaHei" w:hAnsi="Microsoft YaHei" w:eastAsia="Microsoft YaHei" w:cs="Microsoft YaHei"/>
          <w:i w:val="0"/>
          <w:iCs w:val="0"/>
          <w:caps w:val="0"/>
          <w:color w:val="424242"/>
          <w:spacing w:val="0"/>
          <w:sz w:val="27"/>
          <w:szCs w:val="27"/>
        </w:rPr>
      </w:pPr>
      <w:r>
        <w:rPr>
          <w:rFonts w:hint="eastAsia" w:ascii="FZXiaoBiaoSong-B05S" w:hAnsi="FZXiaoBiaoSong-B05S" w:eastAsia="FZXiaoBiaoSong-B05S" w:cs="FZXiaoBiaoSong-B05S"/>
          <w:i w:val="0"/>
          <w:iCs w:val="0"/>
          <w:caps w:val="0"/>
          <w:color w:val="424242"/>
          <w:spacing w:val="0"/>
          <w:sz w:val="44"/>
          <w:szCs w:val="44"/>
          <w:bdr w:val="none" w:color="auto" w:sz="0" w:space="0"/>
          <w:shd w:val="clear" w:fill="FFFFFF"/>
          <w:lang w:eastAsia="zh-CN"/>
        </w:rPr>
        <w:t>（</w:t>
      </w:r>
      <w:r>
        <w:rPr>
          <w:rFonts w:hint="eastAsia" w:ascii="FZXiaoBiaoSong-B05S" w:hAnsi="FZXiaoBiaoSong-B05S" w:eastAsia="FZXiaoBiaoSong-B05S" w:cs="FZXiaoBiaoSong-B05S"/>
          <w:i w:val="0"/>
          <w:iCs w:val="0"/>
          <w:caps w:val="0"/>
          <w:color w:val="424242"/>
          <w:spacing w:val="0"/>
          <w:sz w:val="44"/>
          <w:szCs w:val="44"/>
          <w:bdr w:val="none" w:color="auto" w:sz="0" w:space="0"/>
          <w:shd w:val="clear" w:fill="FFFFFF"/>
        </w:rPr>
        <w:t>2021</w:t>
      </w:r>
      <w:r>
        <w:rPr>
          <w:rFonts w:hint="eastAsia" w:ascii="FZXiaoBiaoSong-B05S" w:hAnsi="FZXiaoBiaoSong-B05S" w:eastAsia="FZXiaoBiaoSong-B05S" w:cs="FZXiaoBiaoSong-B05S"/>
          <w:i w:val="0"/>
          <w:iCs w:val="0"/>
          <w:caps w:val="0"/>
          <w:color w:val="424242"/>
          <w:spacing w:val="0"/>
          <w:sz w:val="44"/>
          <w:szCs w:val="44"/>
          <w:bdr w:val="none" w:color="auto" w:sz="0" w:space="0"/>
          <w:shd w:val="clear" w:fill="FFFFFF"/>
          <w:lang w:eastAsia="zh-CN"/>
        </w:rPr>
        <w:t>修订版）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center"/>
        <w:rPr>
          <w:rFonts w:ascii="Microsoft YaHei" w:hAnsi="Microsoft YaHei" w:eastAsia="Microsoft YaHei" w:cs="Microsoft YaHei"/>
          <w:i w:val="0"/>
          <w:iCs w:val="0"/>
          <w:caps w:val="0"/>
          <w:color w:val="424242"/>
          <w:spacing w:val="0"/>
          <w:sz w:val="27"/>
          <w:szCs w:val="27"/>
        </w:rPr>
      </w:pPr>
      <w:r>
        <w:rPr>
          <w:rFonts w:ascii="FZXiaoBiaoSong-B05S" w:hAnsi="FZXiaoBiaoSong-B05S" w:eastAsia="FZXiaoBiaoSong-B05S" w:cs="FZXiaoBiaoSong-B05S"/>
          <w:i w:val="0"/>
          <w:iCs w:val="0"/>
          <w:caps w:val="0"/>
          <w:color w:val="424242"/>
          <w:spacing w:val="0"/>
          <w:sz w:val="32"/>
          <w:szCs w:val="32"/>
          <w:bdr w:val="none" w:color="auto" w:sz="0" w:space="0"/>
          <w:shd w:val="clear" w:fill="FFFFFF"/>
          <w:lang w:eastAsia="zh-CN"/>
        </w:rPr>
        <w:t>第一部分</w:t>
      </w:r>
      <w:r>
        <w:rPr>
          <w:rFonts w:hint="eastAsia" w:ascii="FZXiaoBiaoSong-B05S" w:hAnsi="FZXiaoBiaoSong-B05S" w:eastAsia="FZXiaoBiaoSong-B05S" w:cs="FZXiaoBiaoSong-B05S"/>
          <w:i w:val="0"/>
          <w:iCs w:val="0"/>
          <w:caps w:val="0"/>
          <w:color w:val="424242"/>
          <w:spacing w:val="0"/>
          <w:sz w:val="32"/>
          <w:szCs w:val="32"/>
          <w:bdr w:val="none" w:color="auto" w:sz="0" w:space="0"/>
          <w:shd w:val="clear" w:fill="FFFFFF"/>
          <w:lang w:eastAsia="zh-CN"/>
        </w:rPr>
        <w:t> 概 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center"/>
        <w:rPr>
          <w:rFonts w:hint="eastAsia" w:ascii="Microsoft YaHei" w:hAnsi="Microsoft YaHei" w:eastAsia="Microsoft YaHei" w:cs="Microsoft YaHei"/>
          <w:i w:val="0"/>
          <w:iCs w:val="0"/>
          <w:caps w:val="0"/>
          <w:color w:val="42424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ascii="SimHei" w:hAnsi="SimSun" w:eastAsia="SimHei" w:cs="SimHei"/>
          <w:i w:val="0"/>
          <w:iCs w:val="0"/>
          <w:caps w:val="0"/>
          <w:color w:val="424242"/>
          <w:spacing w:val="0"/>
          <w:sz w:val="32"/>
          <w:szCs w:val="32"/>
          <w:bdr w:val="none" w:color="auto" w:sz="0" w:space="0"/>
          <w:shd w:val="clear" w:fill="FFFFFF"/>
          <w:lang w:eastAsia="zh-CN"/>
        </w:rPr>
        <w:t>一、主要依据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ascii="FangSong_GB2312" w:hAnsi="Microsoft YaHei" w:eastAsia="FangSong_GB2312" w:cs="FangSong_GB2312"/>
          <w:i w:val="0"/>
          <w:iCs w:val="0"/>
          <w:caps w:val="0"/>
          <w:color w:val="424242"/>
          <w:spacing w:val="0"/>
          <w:sz w:val="32"/>
          <w:szCs w:val="32"/>
          <w:bdr w:val="none" w:color="auto" w:sz="0" w:space="0"/>
          <w:shd w:val="clear" w:fill="FFFFFF"/>
        </w:rPr>
        <w:t>1.</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《中共中央关于全面推进依法治国若干重大问题的决定》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《中华人民共和国政府信息公开条例》（国务院令第</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711</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3.</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中共中央办公厅、国务院办公厅《关于全面推进政务公开工作的意见》（中办发〔</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2016</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8</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4.</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《国务院办公厅印发</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&lt;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关于全面推进政务公开工作的意见</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&gt;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实施细则的通知》（国办发〔</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2016</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80</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5.</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《广东省政府办公厅关于印发省级部门主动公开基本目录编制工作方案的通知》（粤办函〔</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2019</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142</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6.</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《广东省人民政府办公厅关于推进省市县三级主动公开基本目录编制发布工作的通知》（粤办函〔</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2021</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255</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7.</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《韶关市人民政府办公室关于加快推进主动公开基本目录编制发布工作的通知》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634"/>
        <w:rPr>
          <w:rFonts w:hint="eastAsia" w:ascii="Microsoft YaHei" w:hAnsi="Microsoft YaHei" w:eastAsia="Microsoft YaHei" w:cs="Microsoft YaHei"/>
          <w:i w:val="0"/>
          <w:iCs w:val="0"/>
          <w:caps w:val="0"/>
          <w:color w:val="424242"/>
          <w:spacing w:val="0"/>
          <w:sz w:val="27"/>
          <w:szCs w:val="27"/>
        </w:rPr>
      </w:pPr>
      <w:r>
        <w:rPr>
          <w:rFonts w:hint="eastAsia" w:ascii="SimHei" w:hAnsi="SimSun" w:eastAsia="SimHei" w:cs="SimHei"/>
          <w:i w:val="0"/>
          <w:iCs w:val="0"/>
          <w:caps w:val="0"/>
          <w:color w:val="424242"/>
          <w:spacing w:val="0"/>
          <w:sz w:val="32"/>
          <w:szCs w:val="32"/>
          <w:bdr w:val="none" w:color="auto" w:sz="0" w:space="0"/>
          <w:shd w:val="clear" w:fill="FFFFFF"/>
          <w:lang w:eastAsia="zh-CN"/>
        </w:rPr>
        <w:t>二、责任主体、公开时限、方式和监督渠道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　　责任主体：韶关市曲江区交通运输局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　　公开时限：政府信息形成或变更之日起</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20</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个工作日内 （法律法规对政府信息的公开时限另有规定的从其规定）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5"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　　公开方式：韶关市曲江区人民政府门户网</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部门频道栏目</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韶关市曲江区交通运输局网站（</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http://www.qujiang.gov.cn/xxgkzn/</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）、政府信息公开平台</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韶关市曲江区交通运输局（</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http://www.qujiang.gov.cn/sgqjjtysj/gkmlpt/index#740</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）等主动公开。监督渠道：电话监督（</w:t>
      </w:r>
      <w:r>
        <w:rPr>
          <w:rFonts w:hint="eastAsia" w:ascii="FangSong_GB2312" w:hAnsi="Microsoft YaHei" w:eastAsia="FangSong_GB2312" w:cs="FangSong_GB2312"/>
          <w:i w:val="0"/>
          <w:iCs w:val="0"/>
          <w:caps w:val="0"/>
          <w:color w:val="424242"/>
          <w:spacing w:val="0"/>
          <w:sz w:val="32"/>
          <w:szCs w:val="32"/>
          <w:bdr w:val="none" w:color="auto" w:sz="0" w:space="0"/>
          <w:shd w:val="clear" w:fill="FFFFFF"/>
        </w:rPr>
        <w:t>0751-6666293</w:t>
      </w:r>
      <w:r>
        <w:rPr>
          <w:rFonts w:hint="eastAsia" w:ascii="FangSong_GB2312" w:hAnsi="Microsoft YaHei" w:eastAsia="FangSong_GB2312" w:cs="FangSong_GB2312"/>
          <w:i w:val="0"/>
          <w:iCs w:val="0"/>
          <w:caps w:val="0"/>
          <w:color w:val="424242"/>
          <w:spacing w:val="0"/>
          <w:sz w:val="32"/>
          <w:szCs w:val="32"/>
          <w:bdr w:val="none" w:color="auto" w:sz="0" w:space="0"/>
          <w:shd w:val="clear" w:fill="FFFFFF"/>
          <w:lang w:eastAsia="zh-CN"/>
        </w:rPr>
        <w:t>）。</w:t>
      </w:r>
    </w:p>
    <w:p>
      <w:pPr>
        <w:rPr>
          <w:rFonts w:ascii="SimHei" w:hAnsi="SimSun" w:eastAsia="SimHei" w:cs="SimHei"/>
          <w:i w:val="0"/>
          <w:iCs w:val="0"/>
          <w:caps w:val="0"/>
          <w:color w:val="424242"/>
          <w:spacing w:val="0"/>
          <w:sz w:val="32"/>
          <w:szCs w:val="32"/>
          <w:shd w:val="clear" w:fill="FFFFFF"/>
        </w:rPr>
      </w:pPr>
      <w:r>
        <w:rPr>
          <w:rFonts w:ascii="SimHei" w:hAnsi="SimSun" w:eastAsia="SimHei" w:cs="SimHei"/>
          <w:i w:val="0"/>
          <w:iCs w:val="0"/>
          <w:caps w:val="0"/>
          <w:color w:val="424242"/>
          <w:spacing w:val="0"/>
          <w:sz w:val="32"/>
          <w:szCs w:val="32"/>
          <w:shd w:val="clear" w:fill="FFFFFF"/>
        </w:rPr>
        <w:t>第二部分  主动公开基本目录</w:t>
      </w:r>
    </w:p>
    <w:tbl>
      <w:tblPr>
        <w:tblW w:w="9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3"/>
        <w:gridCol w:w="1570"/>
        <w:gridCol w:w="5242"/>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3"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bookmarkStart w:id="0" w:name="_GoBack"/>
            <w:r>
              <w:rPr>
                <w:rFonts w:ascii="FangSong_GB2312" w:hAnsi="Microsoft YaHei" w:eastAsia="FangSong_GB2312" w:cs="FangSong_GB2312"/>
                <w:i w:val="0"/>
                <w:iCs w:val="0"/>
                <w:caps w:val="0"/>
                <w:color w:val="424242"/>
                <w:spacing w:val="0"/>
                <w:sz w:val="32"/>
                <w:szCs w:val="32"/>
                <w:bdr w:val="none" w:color="auto" w:sz="0" w:space="0"/>
                <w:lang w:eastAsia="zh-CN"/>
              </w:rPr>
              <w:t>序号</w:t>
            </w:r>
          </w:p>
        </w:tc>
        <w:tc>
          <w:tcPr>
            <w:tcW w:w="1567"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SimSun" w:eastAsia="FangSong_GB2312" w:cs="FangSong_GB2312"/>
                <w:i w:val="0"/>
                <w:iCs w:val="0"/>
                <w:caps w:val="0"/>
                <w:color w:val="424242"/>
                <w:spacing w:val="0"/>
                <w:sz w:val="32"/>
                <w:szCs w:val="32"/>
                <w:bdr w:val="none" w:color="auto" w:sz="0" w:space="0"/>
                <w:lang w:eastAsia="zh-CN"/>
              </w:rPr>
              <w:t>公开类别</w:t>
            </w:r>
          </w:p>
        </w:tc>
        <w:tc>
          <w:tcPr>
            <w:tcW w:w="5233"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lang w:eastAsia="zh-CN"/>
              </w:rPr>
              <w:t>公开内容</w:t>
            </w:r>
          </w:p>
        </w:tc>
        <w:tc>
          <w:tcPr>
            <w:tcW w:w="1567"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lang w:eastAsia="zh-CN"/>
              </w:rPr>
              <w:t>牵头股室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1</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机构职能</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单位主要职责、内设机构、领导分工</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人事股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2</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规章文件</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信息公开规章制度、相关文件等信息</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3</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规划计划</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年度工作计划、总结</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4</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公开指南</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政府信息公开机构、联系方式；依申请公开受理有关事项、监督方式等信息</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5</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公开年报</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政府信息公开年度报告</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6</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业务工作</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行政许可清单、行政执法案件信息信息公开</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执法四大队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7</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工作动态</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韶关市各地的动态交通运输重要动态，重要事件，便民信息、媒体热点等动态新闻信息</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8</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财政预决算</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年度交通运输局及直属各单位预算、决算和“三公”经费使用情况</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财审股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2"/>
                <w:szCs w:val="32"/>
                <w:bdr w:val="none" w:color="auto" w:sz="0" w:space="0"/>
              </w:rPr>
              <w:t>9</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其他</w:t>
            </w:r>
          </w:p>
        </w:tc>
        <w:tc>
          <w:tcPr>
            <w:tcW w:w="489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经营许可备案公告</w:t>
            </w:r>
          </w:p>
        </w:tc>
        <w:tc>
          <w:tcPr>
            <w:tcW w:w="1470" w:type="dxa"/>
            <w:shd w:val="clear" w:color="auto" w:fill="FFFFFF"/>
            <w:tcMar>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FangSong_GB2312" w:hAnsi="Microsoft YaHei" w:eastAsia="FangSong_GB2312" w:cs="FangSong_GB2312"/>
                <w:i w:val="0"/>
                <w:iCs w:val="0"/>
                <w:caps w:val="0"/>
                <w:color w:val="424242"/>
                <w:spacing w:val="0"/>
                <w:sz w:val="30"/>
                <w:szCs w:val="30"/>
                <w:bdr w:val="none" w:color="auto" w:sz="0" w:space="0"/>
                <w:lang w:eastAsia="zh-CN"/>
              </w:rPr>
              <w:t>综合运输股</w:t>
            </w:r>
          </w:p>
        </w:tc>
      </w:tr>
      <w:bookmarkEnd w:id="0"/>
    </w:tbl>
    <w:p>
      <w:pPr>
        <w:rPr>
          <w:rFonts w:ascii="SimHei" w:hAnsi="SimSun" w:eastAsia="SimHei" w:cs="SimHei"/>
          <w:i w:val="0"/>
          <w:iCs w:val="0"/>
          <w:caps w:val="0"/>
          <w:color w:val="424242"/>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93858B29-B7DF-4573-8DC6-233DA8951543}"/>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06217945-62D3-475B-B494-D00DDD68B3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embedRegular r:id="rId3" w:fontKey="{3C34E55C-5E53-47EC-B1E6-8FD9E47B8FA2}"/>
  </w:font>
  <w:font w:name="FZXiaoBiaoSong-B05S">
    <w:panose1 w:val="02010601030101010101"/>
    <w:charset w:val="86"/>
    <w:family w:val="auto"/>
    <w:pitch w:val="default"/>
    <w:sig w:usb0="00000001" w:usb1="080E0000" w:usb2="00000000" w:usb3="00000000" w:csb0="00040000" w:csb1="00000000"/>
    <w:embedRegular r:id="rId4" w:fontKey="{2CC10EEF-53D7-47B0-B226-4A50CDF0A248}"/>
  </w:font>
  <w:font w:name="FangSong_GB2312">
    <w:panose1 w:val="02010609030101010101"/>
    <w:charset w:val="86"/>
    <w:family w:val="auto"/>
    <w:pitch w:val="default"/>
    <w:sig w:usb0="00000001" w:usb1="080E0000" w:usb2="00000000" w:usb3="00000000" w:csb0="00040000" w:csb1="00000000"/>
    <w:embedRegular r:id="rId5" w:fontKey="{E1E6954D-930A-453F-A37E-3B5A6DC6CA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A3B2D"/>
    <w:rsid w:val="4C2A3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2021-12-19T15:27:00Z</dcterms:created>
  <dc:creator>雪中宝</dc:creator>
  <cp:lastModifiedBy>雪中宝</cp:lastModifiedBy>
  <dcterms:modified xsi:type="dcterms:W3CDTF">2021-12-19T15:28:53Z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B7E431AEF2CF4A2C841E06AFEB8286B7</vt:lpwstr>
  </property>
</Properties>
</file>