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60" w:lineRule="exact"/>
        <w:ind w:left="0" w:right="0"/>
        <w:jc w:val="center"/>
        <w:textAlignment w:val="auto"/>
        <w:rPr>
          <w:rFonts w:hint="eastAsia" w:ascii="FZDocXiaoBiaoSong" w:hAnsi="FZDocXiaoBiaoSong" w:eastAsia="FZDocXiaoBiaoSong" w:cs="FZDocXiaoBiaoSong"/>
          <w:color w:val="424242"/>
          <w:sz w:val="44"/>
          <w:szCs w:val="44"/>
        </w:rPr>
      </w:pPr>
      <w:r>
        <w:rPr>
          <w:rFonts w:hint="eastAsia" w:ascii="FZDocXiaoBiaoSong" w:hAnsi="FZDocXiaoBiaoSong" w:eastAsia="FZDocXiaoBiaoSong" w:cs="FZDocXiaoBiaoSong"/>
          <w:color w:val="424242"/>
          <w:sz w:val="44"/>
          <w:szCs w:val="44"/>
        </w:rPr>
        <w:t>韶关市曲江区发展和改革局主动公开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60" w:lineRule="exact"/>
        <w:ind w:left="0" w:right="0"/>
        <w:jc w:val="center"/>
        <w:textAlignment w:val="auto"/>
        <w:rPr>
          <w:rFonts w:hint="eastAsia" w:ascii="FZDocXiaoBiaoSong" w:hAnsi="FZDocXiaoBiaoSong" w:eastAsia="FZDocXiaoBiaoSong" w:cs="FZDocXiaoBiaoSong"/>
          <w:color w:val="424242"/>
          <w:sz w:val="44"/>
          <w:szCs w:val="44"/>
        </w:rPr>
      </w:pPr>
      <w:r>
        <w:rPr>
          <w:rFonts w:hint="eastAsia" w:ascii="FZDocXiaoBiaoSong" w:hAnsi="FZDocXiaoBiaoSong" w:eastAsia="FZDocXiaoBiaoSong" w:cs="FZDocXiaoBiaoSong"/>
          <w:color w:val="424242"/>
          <w:sz w:val="44"/>
          <w:szCs w:val="44"/>
        </w:rPr>
        <w:t>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第一部分  概述</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6.《韶关市人民政府办公室关于加快推进主动公开基本目录编制发布工作的通知》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【责任主体】韶关市曲江区发展和改革局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【监督渠道】通过韶关市曲江区人民政府门户网站转办或电话监督，监督举报电话：0751-6688330。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第二部分  主动公开基本目录</w:t>
      </w:r>
    </w:p>
    <w:tbl>
      <w:tblPr>
        <w:tblW w:w="90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83"/>
        <w:gridCol w:w="1408"/>
        <w:gridCol w:w="1348"/>
        <w:gridCol w:w="4118"/>
        <w:gridCol w:w="15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583" w:type="dxa"/>
            <w:vMerge w:val="restart"/>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bdr w:val="none" w:color="auto" w:sz="0" w:space="0"/>
              </w:rPr>
              <w:t>序号</w:t>
            </w:r>
          </w:p>
        </w:tc>
        <w:tc>
          <w:tcPr>
            <w:tcW w:w="2750" w:type="dxa"/>
            <w:gridSpan w:val="2"/>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bdr w:val="none" w:color="auto" w:sz="0" w:space="0"/>
              </w:rPr>
              <w:t>公开类别及事项</w:t>
            </w:r>
          </w:p>
        </w:tc>
        <w:tc>
          <w:tcPr>
            <w:tcW w:w="4100" w:type="dxa"/>
            <w:vMerge w:val="restart"/>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bdr w:val="none" w:color="auto" w:sz="0" w:space="0"/>
              </w:rPr>
              <w:t>公开内容</w:t>
            </w:r>
          </w:p>
        </w:tc>
        <w:tc>
          <w:tcPr>
            <w:tcW w:w="1567" w:type="dxa"/>
            <w:vMerge w:val="restart"/>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bdr w:val="none" w:color="auto" w:sz="0" w:space="0"/>
              </w:rPr>
              <w:t>责任处室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583" w:type="dxa"/>
            <w:vMerge w:val="continue"/>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SimSun"/>
                <w:sz w:val="24"/>
                <w:szCs w:val="24"/>
              </w:rPr>
            </w:pPr>
          </w:p>
        </w:tc>
        <w:tc>
          <w:tcPr>
            <w:tcW w:w="141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bdr w:val="none" w:color="auto" w:sz="0" w:space="0"/>
              </w:rPr>
              <w:t>一级类目</w:t>
            </w: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bdr w:val="none" w:color="auto" w:sz="0" w:space="0"/>
              </w:rPr>
              <w:t>二级类目</w:t>
            </w:r>
          </w:p>
        </w:tc>
        <w:tc>
          <w:tcPr>
            <w:tcW w:w="4100" w:type="dxa"/>
            <w:vMerge w:val="continue"/>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SimSun"/>
                <w:sz w:val="24"/>
                <w:szCs w:val="24"/>
              </w:rPr>
            </w:pPr>
          </w:p>
        </w:tc>
        <w:tc>
          <w:tcPr>
            <w:tcW w:w="1567" w:type="dxa"/>
            <w:vMerge w:val="continue"/>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SimSu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9030" w:type="dxa"/>
            <w:gridSpan w:val="5"/>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区政府信息公开部分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一</w:t>
            </w:r>
          </w:p>
        </w:tc>
        <w:tc>
          <w:tcPr>
            <w:tcW w:w="2760" w:type="dxa"/>
            <w:gridSpan w:val="2"/>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政府信息公开指南</w:t>
            </w: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政府信息分类和编排体系、获取形式、政府信息公开工作机构、监督方式等</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二</w:t>
            </w:r>
          </w:p>
        </w:tc>
        <w:tc>
          <w:tcPr>
            <w:tcW w:w="2760" w:type="dxa"/>
            <w:gridSpan w:val="2"/>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法定主动公开内容</w:t>
            </w: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主要涉及下面7项公开内容</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1</w:t>
            </w:r>
          </w:p>
        </w:tc>
        <w:tc>
          <w:tcPr>
            <w:tcW w:w="141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机构职能</w:t>
            </w: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机构设置及主要职能情况、机构领导及分工情况、内设机构设置及职能情况。</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2</w:t>
            </w:r>
          </w:p>
        </w:tc>
        <w:tc>
          <w:tcPr>
            <w:tcW w:w="141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规章文件</w:t>
            </w: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以曲江区发展和改革局名义发布或者作为主办部门与其他部门联合发布的规范性文件；除规范性文件外的业务公开信息；相关政策法规的解读。</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3</w:t>
            </w:r>
          </w:p>
        </w:tc>
        <w:tc>
          <w:tcPr>
            <w:tcW w:w="141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工作动态</w:t>
            </w: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曲江区发展和改革局开展的活动主要情况</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4</w:t>
            </w:r>
          </w:p>
        </w:tc>
        <w:tc>
          <w:tcPr>
            <w:tcW w:w="141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业务工作</w:t>
            </w: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曲江区发展和改革局审批的相关批复文件</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投资审批股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5</w:t>
            </w:r>
          </w:p>
        </w:tc>
        <w:tc>
          <w:tcPr>
            <w:tcW w:w="1410" w:type="dxa"/>
            <w:vMerge w:val="restart"/>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统计信息</w:t>
            </w: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财政预决算</w:t>
            </w: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曲江区发展和改革局涉及财政预决算、支出、项目采购情况。</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6</w:t>
            </w:r>
          </w:p>
        </w:tc>
        <w:tc>
          <w:tcPr>
            <w:tcW w:w="1410" w:type="dxa"/>
            <w:vMerge w:val="continue"/>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SimSun"/>
                <w:sz w:val="24"/>
                <w:szCs w:val="24"/>
              </w:rPr>
            </w:pP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“三公”经费</w:t>
            </w: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曲江区发展和改革局每季度三公经费表</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7</w:t>
            </w:r>
          </w:p>
        </w:tc>
        <w:tc>
          <w:tcPr>
            <w:tcW w:w="141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其他</w:t>
            </w:r>
          </w:p>
        </w:tc>
        <w:tc>
          <w:tcPr>
            <w:tcW w:w="135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人事任免事项；公务员及事业单位工作人员招考录用计划、程序、结果等，曲江区发改和改革局相关数据、报表以及职责范围内依法应当公开的其他信息。</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三</w:t>
            </w:r>
          </w:p>
        </w:tc>
        <w:tc>
          <w:tcPr>
            <w:tcW w:w="2760" w:type="dxa"/>
            <w:gridSpan w:val="2"/>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政府信息公开工作年度报告</w:t>
            </w:r>
          </w:p>
        </w:tc>
        <w:tc>
          <w:tcPr>
            <w:tcW w:w="412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曲江区发展和改革局每年发布的上年度政府信息公开工作情况</w:t>
            </w:r>
          </w:p>
        </w:tc>
        <w:tc>
          <w:tcPr>
            <w:tcW w:w="1575"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局办公室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4923E240-57AA-4D03-B78A-F59346D345A3}"/>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 w:name="Browallia New">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AngsanaUPC">
    <w:panose1 w:val="02020603050405020304"/>
    <w:charset w:val="00"/>
    <w:family w:val="auto"/>
    <w:pitch w:val="default"/>
    <w:sig w:usb0="81000003" w:usb1="00000000" w:usb2="00000000" w:usb3="00000000" w:csb0="00010001" w:csb1="00000000"/>
  </w:font>
  <w:font w:name="Vijaya">
    <w:panose1 w:val="020B0604020202020204"/>
    <w:charset w:val="00"/>
    <w:family w:val="auto"/>
    <w:pitch w:val="default"/>
    <w:sig w:usb0="0010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FZDocXiaoBiaoSong">
    <w:panose1 w:val="02000500000000000000"/>
    <w:charset w:val="86"/>
    <w:family w:val="auto"/>
    <w:pitch w:val="default"/>
    <w:sig w:usb0="A00002BF" w:usb1="38CF7CFA" w:usb2="00000016" w:usb3="00000000" w:csb0="00040001" w:csb1="00000000"/>
    <w:embedRegular r:id="rId2" w:fontKey="{806521FB-A9E5-42EA-A389-281EC95F919A}"/>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00E83"/>
    <w:rsid w:val="6C200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2021-12-19T14:37:00Z</dcterms:created>
  <dc:creator>雪中宝</dc:creator>
  <cp:lastModifiedBy>雪中宝</cp:lastModifiedBy>
  <dcterms:modified xsi:type="dcterms:W3CDTF">2021-12-19T14:40:46Z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23F0E0A679324786850CAD1E6B3327DF</vt:lpwstr>
  </property>
</Properties>
</file>